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B9" w:rsidRPr="000A751A" w:rsidRDefault="000A27D8" w:rsidP="000A27D8">
      <w:pPr>
        <w:jc w:val="center"/>
        <w:rPr>
          <w:rFonts w:ascii="Times New Roman" w:hAnsi="Times New Roman" w:cs="Times New Roman"/>
          <w:sz w:val="40"/>
          <w:szCs w:val="72"/>
        </w:rPr>
      </w:pPr>
      <w:r w:rsidRPr="000A27D8">
        <w:rPr>
          <w:rFonts w:ascii="Times New Roman" w:hAnsi="Times New Roman" w:cs="Times New Roman"/>
          <w:noProof/>
          <w:sz w:val="72"/>
          <w:szCs w:val="72"/>
        </w:rPr>
        <mc:AlternateContent>
          <mc:Choice Requires="wps">
            <w:drawing>
              <wp:anchor distT="0" distB="0" distL="114300" distR="114300" simplePos="0" relativeHeight="251661312" behindDoc="0" locked="0" layoutInCell="1" allowOverlap="1" wp14:anchorId="21957295" wp14:editId="7D59912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0A27D8">
        <w:rPr>
          <w:rFonts w:ascii="Times New Roman" w:hAnsi="Times New Roman" w:cs="Times New Roman"/>
          <w:noProof/>
          <w:sz w:val="72"/>
          <w:szCs w:val="72"/>
        </w:rPr>
        <mc:AlternateContent>
          <mc:Choice Requires="wps">
            <w:drawing>
              <wp:anchor distT="0" distB="0" distL="114300" distR="114300" simplePos="0" relativeHeight="251659264" behindDoc="0" locked="0" layoutInCell="1" allowOverlap="1" wp14:anchorId="70224288" wp14:editId="6D5F529D">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0A27D8">
        <w:rPr>
          <w:rFonts w:ascii="Times New Roman" w:hAnsi="Times New Roman" w:cs="Times New Roman"/>
          <w:sz w:val="72"/>
          <w:szCs w:val="72"/>
        </w:rPr>
        <w:t>Summary of Content Changes</w:t>
      </w:r>
      <w:r w:rsidR="000A751A">
        <w:rPr>
          <w:rFonts w:ascii="Times New Roman" w:hAnsi="Times New Roman" w:cs="Times New Roman"/>
          <w:sz w:val="72"/>
          <w:szCs w:val="72"/>
        </w:rPr>
        <w:br/>
      </w:r>
      <w:r w:rsidR="000A751A" w:rsidRPr="000A751A">
        <w:rPr>
          <w:rFonts w:ascii="Times New Roman" w:hAnsi="Times New Roman" w:cs="Times New Roman"/>
          <w:sz w:val="40"/>
          <w:szCs w:val="72"/>
        </w:rPr>
        <w:t>2013.3 Update – August 2013</w:t>
      </w:r>
    </w:p>
    <w:p w:rsidR="00BB140A" w:rsidRPr="00434F4C" w:rsidRDefault="00BB140A">
      <w:pPr>
        <w:rPr>
          <w:rFonts w:ascii="Times New Roman" w:hAnsi="Times New Roman" w:cs="Times New Roman"/>
          <w:b/>
          <w:sz w:val="24"/>
          <w:szCs w:val="24"/>
          <w:u w:val="single"/>
        </w:rPr>
      </w:pPr>
      <w:r w:rsidRPr="00434F4C">
        <w:rPr>
          <w:rFonts w:ascii="Times New Roman" w:hAnsi="Times New Roman" w:cs="Times New Roman"/>
          <w:b/>
          <w:sz w:val="24"/>
          <w:szCs w:val="24"/>
          <w:u w:val="single"/>
        </w:rPr>
        <w:t>General Notes</w:t>
      </w:r>
    </w:p>
    <w:p w:rsidR="00434F4C" w:rsidRDefault="00434F4C">
      <w:pPr>
        <w:rPr>
          <w:rFonts w:ascii="Times New Roman" w:hAnsi="Times New Roman" w:cs="Times New Roman"/>
          <w:sz w:val="24"/>
          <w:szCs w:val="24"/>
        </w:rPr>
      </w:pPr>
      <w:r w:rsidRPr="00434F4C">
        <w:rPr>
          <w:rFonts w:ascii="Times New Roman" w:hAnsi="Times New Roman" w:cs="Times New Roman"/>
          <w:b/>
          <w:sz w:val="24"/>
          <w:szCs w:val="24"/>
        </w:rPr>
        <w:t>Note 1:</w:t>
      </w:r>
      <w:r>
        <w:rPr>
          <w:rFonts w:ascii="Times New Roman" w:hAnsi="Times New Roman" w:cs="Times New Roman"/>
          <w:sz w:val="24"/>
          <w:szCs w:val="24"/>
        </w:rPr>
        <w:t xml:space="preserve">  </w:t>
      </w:r>
      <w:r w:rsidR="00BB140A">
        <w:rPr>
          <w:rFonts w:ascii="Times New Roman" w:hAnsi="Times New Roman" w:cs="Times New Roman"/>
          <w:sz w:val="24"/>
          <w:szCs w:val="24"/>
        </w:rPr>
        <w:t>Several policies in this update have formatting changes where w</w:t>
      </w:r>
      <w:r w:rsidR="00BB140A" w:rsidRPr="00BB140A">
        <w:rPr>
          <w:rFonts w:ascii="Times New Roman" w:hAnsi="Times New Roman" w:cs="Times New Roman"/>
          <w:sz w:val="24"/>
          <w:szCs w:val="24"/>
        </w:rPr>
        <w:t xml:space="preserve">ords previously underlined </w:t>
      </w:r>
      <w:r w:rsidR="00BB140A">
        <w:rPr>
          <w:rFonts w:ascii="Times New Roman" w:hAnsi="Times New Roman" w:cs="Times New Roman"/>
          <w:sz w:val="24"/>
          <w:szCs w:val="24"/>
        </w:rPr>
        <w:t xml:space="preserve">as titles or </w:t>
      </w:r>
      <w:r w:rsidR="00BB140A" w:rsidRPr="00BB140A">
        <w:rPr>
          <w:rFonts w:ascii="Times New Roman" w:hAnsi="Times New Roman" w:cs="Times New Roman"/>
          <w:sz w:val="24"/>
          <w:szCs w:val="24"/>
        </w:rPr>
        <w:t>for emphasis were changed to bold, as underlined words typically signify a hyperlink</w:t>
      </w:r>
      <w:r w:rsidR="00BB140A">
        <w:rPr>
          <w:rFonts w:ascii="Times New Roman" w:hAnsi="Times New Roman" w:cs="Times New Roman"/>
          <w:sz w:val="24"/>
          <w:szCs w:val="24"/>
        </w:rPr>
        <w:t xml:space="preserve">. These updates are being made to policies over time as the policies are updated.  </w:t>
      </w:r>
      <w:r w:rsidR="00056718">
        <w:rPr>
          <w:rFonts w:ascii="Times New Roman" w:hAnsi="Times New Roman" w:cs="Times New Roman"/>
          <w:sz w:val="24"/>
          <w:szCs w:val="24"/>
        </w:rPr>
        <w:t>These instances are not individually noted in this summary, but are shown on the redlined version.</w:t>
      </w:r>
    </w:p>
    <w:p w:rsidR="00BB140A" w:rsidRDefault="00434F4C">
      <w:pPr>
        <w:rPr>
          <w:rFonts w:ascii="Times New Roman" w:hAnsi="Times New Roman" w:cs="Times New Roman"/>
          <w:sz w:val="24"/>
          <w:szCs w:val="24"/>
        </w:rPr>
      </w:pPr>
      <w:r w:rsidRPr="00434F4C">
        <w:rPr>
          <w:rFonts w:ascii="Times New Roman" w:hAnsi="Times New Roman" w:cs="Times New Roman"/>
          <w:b/>
          <w:sz w:val="24"/>
          <w:szCs w:val="24"/>
        </w:rPr>
        <w:t>Note 2:</w:t>
      </w:r>
      <w:r>
        <w:rPr>
          <w:rFonts w:ascii="Times New Roman" w:hAnsi="Times New Roman" w:cs="Times New Roman"/>
          <w:sz w:val="24"/>
          <w:szCs w:val="24"/>
        </w:rPr>
        <w:t xml:space="preserve">  </w:t>
      </w:r>
      <w:r w:rsidR="00BB140A" w:rsidRPr="00BB140A">
        <w:rPr>
          <w:rFonts w:ascii="Times New Roman" w:hAnsi="Times New Roman" w:cs="Times New Roman"/>
          <w:sz w:val="24"/>
          <w:szCs w:val="24"/>
        </w:rPr>
        <w:t xml:space="preserve">Several </w:t>
      </w:r>
      <w:r w:rsidR="00056718">
        <w:rPr>
          <w:rFonts w:ascii="Times New Roman" w:hAnsi="Times New Roman" w:cs="Times New Roman"/>
          <w:sz w:val="24"/>
          <w:szCs w:val="24"/>
        </w:rPr>
        <w:t xml:space="preserve">policies in this update had </w:t>
      </w:r>
      <w:r w:rsidR="00BB140A" w:rsidRPr="00BB140A">
        <w:rPr>
          <w:rFonts w:ascii="Times New Roman" w:hAnsi="Times New Roman" w:cs="Times New Roman"/>
          <w:sz w:val="24"/>
          <w:szCs w:val="24"/>
        </w:rPr>
        <w:t xml:space="preserve">instances of references </w:t>
      </w:r>
      <w:r w:rsidR="00BB140A">
        <w:rPr>
          <w:rFonts w:ascii="Times New Roman" w:hAnsi="Times New Roman" w:cs="Times New Roman"/>
          <w:sz w:val="24"/>
          <w:szCs w:val="24"/>
        </w:rPr>
        <w:t xml:space="preserve">within a policy to another policy </w:t>
      </w:r>
      <w:r>
        <w:rPr>
          <w:rFonts w:ascii="Times New Roman" w:hAnsi="Times New Roman" w:cs="Times New Roman"/>
          <w:sz w:val="24"/>
          <w:szCs w:val="24"/>
        </w:rPr>
        <w:t xml:space="preserve">in the manual </w:t>
      </w:r>
      <w:r w:rsidR="00BB140A" w:rsidRPr="00BB140A">
        <w:rPr>
          <w:rFonts w:ascii="Times New Roman" w:hAnsi="Times New Roman" w:cs="Times New Roman"/>
          <w:sz w:val="24"/>
          <w:szCs w:val="24"/>
        </w:rPr>
        <w:t>updated from “Section” to “Policy” to make the terminology more consistent across the model policies.</w:t>
      </w:r>
      <w:r w:rsidR="00056718">
        <w:rPr>
          <w:rFonts w:ascii="Times New Roman" w:hAnsi="Times New Roman" w:cs="Times New Roman"/>
          <w:sz w:val="24"/>
          <w:szCs w:val="24"/>
        </w:rPr>
        <w:t xml:space="preserve"> These instances are not individually noted in this summary, but are shown on the redlined version.</w:t>
      </w:r>
    </w:p>
    <w:p w:rsidR="00434F4C" w:rsidRDefault="00434F4C">
      <w:pPr>
        <w:rPr>
          <w:rFonts w:ascii="Times New Roman" w:hAnsi="Times New Roman" w:cs="Times New Roman"/>
          <w:sz w:val="24"/>
          <w:szCs w:val="24"/>
        </w:rPr>
      </w:pPr>
      <w:r w:rsidRPr="00434F4C">
        <w:rPr>
          <w:rFonts w:ascii="Times New Roman" w:hAnsi="Times New Roman" w:cs="Times New Roman"/>
          <w:b/>
          <w:sz w:val="24"/>
          <w:szCs w:val="24"/>
        </w:rPr>
        <w:t>Note 3:</w:t>
      </w:r>
      <w:r>
        <w:rPr>
          <w:rFonts w:ascii="Times New Roman" w:hAnsi="Times New Roman" w:cs="Times New Roman"/>
          <w:sz w:val="24"/>
          <w:szCs w:val="24"/>
        </w:rPr>
        <w:t xml:space="preserve">  </w:t>
      </w:r>
      <w:r w:rsidRPr="000A751A">
        <w:rPr>
          <w:rFonts w:ascii="Times New Roman" w:hAnsi="Times New Roman" w:cs="Times New Roman"/>
          <w:b/>
          <w:sz w:val="24"/>
          <w:szCs w:val="24"/>
        </w:rPr>
        <w:t xml:space="preserve">Policy </w:t>
      </w:r>
      <w:r w:rsidR="000A751A" w:rsidRPr="000A751A">
        <w:rPr>
          <w:rFonts w:ascii="Times New Roman" w:hAnsi="Times New Roman" w:cs="Times New Roman"/>
          <w:b/>
          <w:sz w:val="24"/>
          <w:szCs w:val="24"/>
        </w:rPr>
        <w:t>11010</w:t>
      </w:r>
      <w:r w:rsidRPr="000A751A">
        <w:rPr>
          <w:rFonts w:ascii="Times New Roman" w:hAnsi="Times New Roman" w:cs="Times New Roman"/>
          <w:b/>
          <w:sz w:val="24"/>
          <w:szCs w:val="24"/>
        </w:rPr>
        <w:t xml:space="preserve">, </w:t>
      </w:r>
      <w:r w:rsidR="000A751A" w:rsidRPr="000A751A">
        <w:rPr>
          <w:rFonts w:ascii="Times New Roman" w:hAnsi="Times New Roman" w:cs="Times New Roman"/>
          <w:b/>
          <w:sz w:val="24"/>
          <w:szCs w:val="24"/>
        </w:rPr>
        <w:t>Risk Based Pricing</w:t>
      </w:r>
      <w:r w:rsidR="000A751A">
        <w:rPr>
          <w:rFonts w:ascii="Times New Roman" w:hAnsi="Times New Roman" w:cs="Times New Roman"/>
          <w:sz w:val="24"/>
          <w:szCs w:val="24"/>
        </w:rPr>
        <w:t>.  In the online master, Paragraph (1</w:t>
      </w:r>
      <w:proofErr w:type="gramStart"/>
      <w:r w:rsidR="000A751A">
        <w:rPr>
          <w:rFonts w:ascii="Times New Roman" w:hAnsi="Times New Roman" w:cs="Times New Roman"/>
          <w:sz w:val="24"/>
          <w:szCs w:val="24"/>
        </w:rPr>
        <w:t>)(</w:t>
      </w:r>
      <w:proofErr w:type="gramEnd"/>
      <w:r w:rsidR="000A751A">
        <w:rPr>
          <w:rFonts w:ascii="Times New Roman" w:hAnsi="Times New Roman" w:cs="Times New Roman"/>
          <w:sz w:val="24"/>
          <w:szCs w:val="24"/>
        </w:rPr>
        <w:t xml:space="preserve">C)(iii) - </w:t>
      </w:r>
      <w:r w:rsidR="000A751A" w:rsidRPr="000A751A">
        <w:rPr>
          <w:rFonts w:ascii="Times New Roman" w:hAnsi="Times New Roman" w:cs="Times New Roman"/>
          <w:b/>
          <w:sz w:val="24"/>
          <w:szCs w:val="24"/>
        </w:rPr>
        <w:t>Account Review</w:t>
      </w:r>
      <w:r w:rsidR="000A751A">
        <w:rPr>
          <w:rFonts w:ascii="Times New Roman" w:hAnsi="Times New Roman" w:cs="Times New Roman"/>
          <w:sz w:val="24"/>
          <w:szCs w:val="24"/>
        </w:rPr>
        <w:t>, is in the wrong position in the numbered list.  It should not be under letter C, but a stand-alone item (1</w:t>
      </w:r>
      <w:proofErr w:type="gramStart"/>
      <w:r w:rsidR="000A751A">
        <w:rPr>
          <w:rFonts w:ascii="Times New Roman" w:hAnsi="Times New Roman" w:cs="Times New Roman"/>
          <w:sz w:val="24"/>
          <w:szCs w:val="24"/>
        </w:rPr>
        <w:t>)(</w:t>
      </w:r>
      <w:proofErr w:type="gramEnd"/>
      <w:r w:rsidR="000A751A">
        <w:rPr>
          <w:rFonts w:ascii="Times New Roman" w:hAnsi="Times New Roman" w:cs="Times New Roman"/>
          <w:sz w:val="24"/>
          <w:szCs w:val="24"/>
        </w:rPr>
        <w:t xml:space="preserve">D).  </w:t>
      </w:r>
      <w:r>
        <w:rPr>
          <w:rFonts w:ascii="Times New Roman" w:hAnsi="Times New Roman" w:cs="Times New Roman"/>
          <w:sz w:val="24"/>
          <w:szCs w:val="24"/>
        </w:rPr>
        <w:t xml:space="preserve">As this was the only change in the policy, it is </w:t>
      </w:r>
      <w:r w:rsidR="000A751A">
        <w:rPr>
          <w:rFonts w:ascii="Times New Roman" w:hAnsi="Times New Roman" w:cs="Times New Roman"/>
          <w:sz w:val="24"/>
          <w:szCs w:val="24"/>
        </w:rPr>
        <w:t xml:space="preserve">simply a note.  The master version has been corrected, but there is no redlined version and </w:t>
      </w:r>
      <w:r>
        <w:rPr>
          <w:rFonts w:ascii="Times New Roman" w:hAnsi="Times New Roman" w:cs="Times New Roman"/>
          <w:sz w:val="24"/>
          <w:szCs w:val="24"/>
        </w:rPr>
        <w:t xml:space="preserve">the revised date is not shown as updated.  If this policy is included in your </w:t>
      </w:r>
      <w:r w:rsidR="000A751A">
        <w:rPr>
          <w:rFonts w:ascii="Times New Roman" w:hAnsi="Times New Roman" w:cs="Times New Roman"/>
          <w:sz w:val="24"/>
          <w:szCs w:val="24"/>
        </w:rPr>
        <w:t xml:space="preserve">Working </w:t>
      </w:r>
      <w:r>
        <w:rPr>
          <w:rFonts w:ascii="Times New Roman" w:hAnsi="Times New Roman" w:cs="Times New Roman"/>
          <w:sz w:val="24"/>
          <w:szCs w:val="24"/>
        </w:rPr>
        <w:t xml:space="preserve">manual, </w:t>
      </w:r>
      <w:r w:rsidR="000A751A">
        <w:rPr>
          <w:rFonts w:ascii="Times New Roman" w:hAnsi="Times New Roman" w:cs="Times New Roman"/>
          <w:sz w:val="24"/>
          <w:szCs w:val="24"/>
        </w:rPr>
        <w:t xml:space="preserve">please </w:t>
      </w:r>
      <w:r w:rsidR="000A751A" w:rsidRPr="000A751A">
        <w:rPr>
          <w:rFonts w:ascii="Times New Roman" w:hAnsi="Times New Roman" w:cs="Times New Roman"/>
          <w:sz w:val="24"/>
          <w:szCs w:val="24"/>
        </w:rPr>
        <w:t xml:space="preserve">move </w:t>
      </w:r>
      <w:r w:rsidR="000A751A">
        <w:rPr>
          <w:rFonts w:ascii="Times New Roman" w:hAnsi="Times New Roman" w:cs="Times New Roman"/>
          <w:sz w:val="24"/>
          <w:szCs w:val="24"/>
        </w:rPr>
        <w:t>the “</w:t>
      </w:r>
      <w:r w:rsidR="000A751A" w:rsidRPr="000A751A">
        <w:rPr>
          <w:rFonts w:ascii="Times New Roman" w:hAnsi="Times New Roman" w:cs="Times New Roman"/>
          <w:sz w:val="24"/>
          <w:szCs w:val="24"/>
        </w:rPr>
        <w:t>Account Review</w:t>
      </w:r>
      <w:r w:rsidR="000A751A">
        <w:rPr>
          <w:rFonts w:ascii="Times New Roman" w:hAnsi="Times New Roman" w:cs="Times New Roman"/>
          <w:sz w:val="24"/>
          <w:szCs w:val="24"/>
        </w:rPr>
        <w:t>” information</w:t>
      </w:r>
      <w:r w:rsidR="000A751A" w:rsidRPr="000A751A">
        <w:rPr>
          <w:rFonts w:ascii="Times New Roman" w:hAnsi="Times New Roman" w:cs="Times New Roman"/>
          <w:sz w:val="24"/>
          <w:szCs w:val="24"/>
        </w:rPr>
        <w:t xml:space="preserve"> from </w:t>
      </w:r>
      <w:r w:rsidR="000A751A">
        <w:rPr>
          <w:rFonts w:ascii="Times New Roman" w:hAnsi="Times New Roman" w:cs="Times New Roman"/>
          <w:sz w:val="24"/>
          <w:szCs w:val="24"/>
        </w:rPr>
        <w:t>(1</w:t>
      </w:r>
      <w:proofErr w:type="gramStart"/>
      <w:r w:rsidR="000A751A">
        <w:rPr>
          <w:rFonts w:ascii="Times New Roman" w:hAnsi="Times New Roman" w:cs="Times New Roman"/>
          <w:sz w:val="24"/>
          <w:szCs w:val="24"/>
        </w:rPr>
        <w:t>)(</w:t>
      </w:r>
      <w:proofErr w:type="gramEnd"/>
      <w:r w:rsidR="000A751A">
        <w:rPr>
          <w:rFonts w:ascii="Times New Roman" w:hAnsi="Times New Roman" w:cs="Times New Roman"/>
          <w:sz w:val="24"/>
          <w:szCs w:val="24"/>
        </w:rPr>
        <w:t xml:space="preserve">C)(iii) </w:t>
      </w:r>
      <w:r w:rsidR="000A751A" w:rsidRPr="000A751A">
        <w:rPr>
          <w:rFonts w:ascii="Times New Roman" w:hAnsi="Times New Roman" w:cs="Times New Roman"/>
          <w:sz w:val="24"/>
          <w:szCs w:val="24"/>
        </w:rPr>
        <w:t xml:space="preserve">to </w:t>
      </w:r>
      <w:r w:rsidR="000A751A">
        <w:rPr>
          <w:rFonts w:ascii="Times New Roman" w:hAnsi="Times New Roman" w:cs="Times New Roman"/>
          <w:sz w:val="24"/>
          <w:szCs w:val="24"/>
        </w:rPr>
        <w:t xml:space="preserve">(1)(D) </w:t>
      </w:r>
      <w:r w:rsidR="000A751A" w:rsidRPr="000A751A">
        <w:rPr>
          <w:rFonts w:ascii="Times New Roman" w:hAnsi="Times New Roman" w:cs="Times New Roman"/>
          <w:sz w:val="24"/>
          <w:szCs w:val="24"/>
        </w:rPr>
        <w:t>in the numbered list</w:t>
      </w:r>
      <w:r w:rsidR="000A751A">
        <w:rPr>
          <w:rFonts w:ascii="Times New Roman" w:hAnsi="Times New Roman" w:cs="Times New Roman"/>
          <w:sz w:val="24"/>
          <w:szCs w:val="24"/>
        </w:rPr>
        <w:t>.  To do this</w:t>
      </w:r>
      <w:r w:rsidR="000A751A" w:rsidRPr="000A751A">
        <w:rPr>
          <w:rFonts w:ascii="Times New Roman" w:hAnsi="Times New Roman" w:cs="Times New Roman"/>
          <w:sz w:val="24"/>
          <w:szCs w:val="24"/>
        </w:rPr>
        <w:t xml:space="preserve">, put your cursor in the text of “Account Review” and use the decrease indent button in the toolbar.  </w:t>
      </w:r>
    </w:p>
    <w:p w:rsidR="000A27D8" w:rsidRDefault="000A27D8">
      <w:pPr>
        <w:rPr>
          <w:rFonts w:ascii="Times New Roman" w:hAnsi="Times New Roman" w:cs="Times New Roman"/>
          <w:sz w:val="24"/>
          <w:szCs w:val="24"/>
        </w:rPr>
      </w:pPr>
    </w:p>
    <w:p w:rsidR="00D356EE" w:rsidRPr="00E9254E" w:rsidRDefault="00D356EE" w:rsidP="00D356EE">
      <w:pPr>
        <w:spacing w:after="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NEW  -</w:t>
      </w:r>
      <w:proofErr w:type="gramEnd"/>
      <w:r>
        <w:rPr>
          <w:rFonts w:ascii="Times New Roman" w:hAnsi="Times New Roman" w:cs="Times New Roman"/>
          <w:b/>
          <w:sz w:val="24"/>
          <w:szCs w:val="24"/>
          <w:u w:val="single"/>
        </w:rPr>
        <w:t xml:space="preserve"> </w:t>
      </w:r>
      <w:r w:rsidRPr="00E9254E">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1205</w:t>
      </w:r>
      <w:r w:rsidRPr="00E9254E">
        <w:rPr>
          <w:rFonts w:ascii="Times New Roman" w:hAnsi="Times New Roman" w:cs="Times New Roman"/>
          <w:b/>
          <w:sz w:val="24"/>
          <w:szCs w:val="24"/>
          <w:u w:val="single"/>
        </w:rPr>
        <w:t xml:space="preserve"> – </w:t>
      </w:r>
      <w:r>
        <w:rPr>
          <w:rFonts w:ascii="Times New Roman" w:hAnsi="Times New Roman" w:cs="Times New Roman"/>
          <w:b/>
          <w:sz w:val="24"/>
          <w:szCs w:val="24"/>
          <w:u w:val="single"/>
        </w:rPr>
        <w:t>Board of Directors Duties</w:t>
      </w:r>
    </w:p>
    <w:p w:rsidR="00D356EE" w:rsidRPr="00E9254E" w:rsidRDefault="00D356EE" w:rsidP="00D356EE">
      <w:pPr>
        <w:spacing w:after="0"/>
        <w:rPr>
          <w:rFonts w:ascii="Times New Roman" w:hAnsi="Times New Roman" w:cs="Times New Roman"/>
          <w:b/>
          <w:sz w:val="24"/>
          <w:szCs w:val="24"/>
          <w:u w:val="single"/>
        </w:rPr>
      </w:pPr>
      <w:r>
        <w:rPr>
          <w:rFonts w:ascii="Times New Roman" w:hAnsi="Times New Roman" w:cs="Times New Roman"/>
          <w:b/>
          <w:sz w:val="24"/>
          <w:szCs w:val="24"/>
          <w:u w:val="single"/>
        </w:rPr>
        <w:t>2013-3</w:t>
      </w:r>
    </w:p>
    <w:p w:rsidR="00D356EE" w:rsidRPr="00E9254E" w:rsidRDefault="00D356EE" w:rsidP="00D356EE">
      <w:pPr>
        <w:spacing w:after="0"/>
        <w:rPr>
          <w:rFonts w:ascii="Times New Roman" w:hAnsi="Times New Roman" w:cs="Times New Roman"/>
          <w:sz w:val="24"/>
          <w:szCs w:val="24"/>
        </w:rPr>
      </w:pPr>
      <w:r w:rsidRPr="00E9254E">
        <w:rPr>
          <w:rFonts w:ascii="Times New Roman" w:hAnsi="Times New Roman" w:cs="Times New Roman"/>
          <w:sz w:val="24"/>
          <w:szCs w:val="24"/>
        </w:rPr>
        <w:t xml:space="preserve">The Board of </w:t>
      </w:r>
      <w:r>
        <w:rPr>
          <w:rFonts w:ascii="Times New Roman" w:hAnsi="Times New Roman" w:cs="Times New Roman"/>
          <w:sz w:val="24"/>
          <w:szCs w:val="24"/>
        </w:rPr>
        <w:t xml:space="preserve">Directors Duties Policy was created based on the request of credit unions and increasing examination focus on credit union’s Board of Directors and their duties.  This policy was created based on guidance from the NCUA including: </w:t>
      </w:r>
      <w:hyperlink r:id="rId5" w:history="1">
        <w:r w:rsidRPr="003B4C9F">
          <w:rPr>
            <w:rStyle w:val="Hyperlink"/>
            <w:rFonts w:ascii="Times New Roman" w:hAnsi="Times New Roman" w:cs="Times New Roman"/>
            <w:sz w:val="24"/>
            <w:szCs w:val="24"/>
          </w:rPr>
          <w:t>Letter to Federal Credit Unions 11-FCU-02 Duties of Federal Credit Union Board of Directors</w:t>
        </w:r>
      </w:hyperlink>
      <w:r>
        <w:rPr>
          <w:rFonts w:ascii="Times New Roman" w:hAnsi="Times New Roman" w:cs="Times New Roman"/>
          <w:sz w:val="24"/>
          <w:szCs w:val="24"/>
        </w:rPr>
        <w:t xml:space="preserve">; </w:t>
      </w:r>
      <w:hyperlink r:id="rId6" w:history="1">
        <w:r w:rsidRPr="003B4C9F">
          <w:rPr>
            <w:rStyle w:val="Hyperlink"/>
            <w:rFonts w:ascii="Times New Roman" w:hAnsi="Times New Roman" w:cs="Times New Roman"/>
            <w:sz w:val="24"/>
            <w:szCs w:val="24"/>
          </w:rPr>
          <w:t>NCUA Examiners Guide, Chapter 7Managment</w:t>
        </w:r>
      </w:hyperlink>
      <w:r>
        <w:rPr>
          <w:rFonts w:ascii="Times New Roman" w:hAnsi="Times New Roman" w:cs="Times New Roman"/>
          <w:sz w:val="24"/>
          <w:szCs w:val="24"/>
        </w:rPr>
        <w:t xml:space="preserve">; and the </w:t>
      </w:r>
      <w:hyperlink r:id="rId7" w:history="1">
        <w:r w:rsidRPr="005261DF">
          <w:rPr>
            <w:rStyle w:val="Hyperlink"/>
            <w:rFonts w:ascii="Times New Roman" w:hAnsi="Times New Roman" w:cs="Times New Roman"/>
            <w:sz w:val="24"/>
            <w:szCs w:val="24"/>
          </w:rPr>
          <w:t>Fiduciary Duties at Federal Credit Union Rule</w:t>
        </w:r>
      </w:hyperlink>
      <w:r>
        <w:rPr>
          <w:rFonts w:ascii="Times New Roman" w:hAnsi="Times New Roman" w:cs="Times New Roman"/>
          <w:sz w:val="24"/>
          <w:szCs w:val="24"/>
        </w:rPr>
        <w:t xml:space="preserve">.  This policy includes guidance on duties of directors including: fiduciary, risk, management, and good faith duties.  </w:t>
      </w:r>
      <w:r w:rsidRPr="000D425A">
        <w:rPr>
          <w:rFonts w:ascii="Times New Roman" w:hAnsi="Times New Roman" w:cs="Times New Roman"/>
          <w:color w:val="FF0000"/>
          <w:sz w:val="24"/>
          <w:szCs w:val="24"/>
        </w:rPr>
        <w:t xml:space="preserve">(New Policy) </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lastRenderedPageBreak/>
        <w:t>Policy 12</w:t>
      </w:r>
      <w:r>
        <w:rPr>
          <w:rFonts w:ascii="Times New Roman" w:hAnsi="Times New Roman" w:cs="Times New Roman"/>
          <w:b/>
          <w:sz w:val="24"/>
          <w:szCs w:val="24"/>
          <w:u w:val="single"/>
        </w:rPr>
        <w:t>3</w:t>
      </w:r>
      <w:r w:rsidRPr="00756B43">
        <w:rPr>
          <w:rFonts w:ascii="Times New Roman" w:hAnsi="Times New Roman" w:cs="Times New Roman"/>
          <w:b/>
          <w:sz w:val="24"/>
          <w:szCs w:val="24"/>
          <w:u w:val="single"/>
        </w:rPr>
        <w:t xml:space="preserve">5 – </w:t>
      </w:r>
      <w:r>
        <w:rPr>
          <w:rFonts w:ascii="Times New Roman" w:hAnsi="Times New Roman" w:cs="Times New Roman"/>
          <w:b/>
          <w:sz w:val="24"/>
          <w:szCs w:val="24"/>
          <w:u w:val="single"/>
        </w:rPr>
        <w:t>Education and Volunteer Training Guidelines</w:t>
      </w: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 xml:space="preserve">Fiduciary duties for volunteers have been further defined in Section (1)(A)(i) based on the </w:t>
      </w:r>
      <w:hyperlink r:id="rId8" w:history="1">
        <w:r w:rsidRPr="005B1EC0">
          <w:rPr>
            <w:rStyle w:val="Hyperlink"/>
            <w:rFonts w:ascii="Times New Roman" w:hAnsi="Times New Roman" w:cs="Times New Roman"/>
            <w:sz w:val="24"/>
            <w:szCs w:val="24"/>
          </w:rPr>
          <w:t>Fiduciary Duties at Federal Credit Union Rule</w:t>
        </w:r>
      </w:hyperlink>
      <w:r>
        <w:rPr>
          <w:rFonts w:ascii="Times New Roman" w:hAnsi="Times New Roman" w:cs="Times New Roman"/>
          <w:sz w:val="24"/>
          <w:szCs w:val="24"/>
        </w:rPr>
        <w:t xml:space="preserve"> and now include the requirement that </w:t>
      </w:r>
      <w:r w:rsidRPr="005B1EC0">
        <w:rPr>
          <w:rFonts w:ascii="Times New Roman" w:hAnsi="Times New Roman" w:cs="Times New Roman"/>
          <w:sz w:val="24"/>
          <w:szCs w:val="24"/>
        </w:rPr>
        <w:t>Board members who were elected or appointed who do not possess the requisite financial skills have six months from election or appointment date to obtain them.</w:t>
      </w:r>
      <w:r>
        <w:rPr>
          <w:rFonts w:ascii="Times New Roman" w:hAnsi="Times New Roman" w:cs="Times New Roman"/>
          <w:sz w:val="24"/>
          <w:szCs w:val="24"/>
        </w:rPr>
        <w:t xml:space="preserve">  Additionally expense approval in Section (2) was clarified to include consideration of approval of certain expenses related with education and training activities.  </w:t>
      </w:r>
      <w:r w:rsidRPr="007056B1">
        <w:rPr>
          <w:rFonts w:ascii="Times New Roman" w:hAnsi="Times New Roman" w:cs="Times New Roman"/>
          <w:color w:val="FF0000"/>
          <w:sz w:val="24"/>
          <w:szCs w:val="24"/>
        </w:rPr>
        <w:t>(Required)</w:t>
      </w:r>
    </w:p>
    <w:p w:rsidR="00D356EE" w:rsidRDefault="00D356EE" w:rsidP="00D356EE">
      <w:pPr>
        <w:spacing w:after="0"/>
        <w:rPr>
          <w:rFonts w:ascii="Times New Roman" w:hAnsi="Times New Roman" w:cs="Times New Roman"/>
          <w:sz w:val="24"/>
          <w:szCs w:val="24"/>
        </w:rPr>
      </w:pPr>
    </w:p>
    <w:p w:rsidR="00D356EE" w:rsidRPr="00756B43" w:rsidRDefault="00D356EE" w:rsidP="00D356EE">
      <w:pPr>
        <w:spacing w:after="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NEW  -</w:t>
      </w:r>
      <w:proofErr w:type="gramEnd"/>
      <w:r>
        <w:rPr>
          <w:rFonts w:ascii="Times New Roman" w:hAnsi="Times New Roman" w:cs="Times New Roman"/>
          <w:b/>
          <w:sz w:val="24"/>
          <w:szCs w:val="24"/>
          <w:u w:val="single"/>
        </w:rPr>
        <w:t xml:space="preserve"> </w:t>
      </w:r>
      <w:r w:rsidRPr="00756B43">
        <w:rPr>
          <w:rFonts w:ascii="Times New Roman" w:hAnsi="Times New Roman" w:cs="Times New Roman"/>
          <w:b/>
          <w:sz w:val="24"/>
          <w:szCs w:val="24"/>
          <w:u w:val="single"/>
        </w:rPr>
        <w:t>Policy 1</w:t>
      </w:r>
      <w:r>
        <w:rPr>
          <w:rFonts w:ascii="Times New Roman" w:hAnsi="Times New Roman" w:cs="Times New Roman"/>
          <w:b/>
          <w:sz w:val="24"/>
          <w:szCs w:val="24"/>
          <w:u w:val="single"/>
        </w:rPr>
        <w:t>5</w:t>
      </w:r>
      <w:r w:rsidRPr="00756B43">
        <w:rPr>
          <w:rFonts w:ascii="Times New Roman" w:hAnsi="Times New Roman" w:cs="Times New Roman"/>
          <w:b/>
          <w:sz w:val="24"/>
          <w:szCs w:val="24"/>
          <w:u w:val="single"/>
        </w:rPr>
        <w:t xml:space="preserve">05 – </w:t>
      </w:r>
      <w:r>
        <w:rPr>
          <w:rFonts w:ascii="Times New Roman" w:hAnsi="Times New Roman" w:cs="Times New Roman"/>
          <w:b/>
          <w:sz w:val="24"/>
          <w:szCs w:val="24"/>
          <w:u w:val="single"/>
        </w:rPr>
        <w:t>W</w:t>
      </w:r>
      <w:r>
        <w:rPr>
          <w:rFonts w:ascii="Times New Roman" w:hAnsi="Times New Roman" w:cs="Times New Roman"/>
          <w:b/>
          <w:sz w:val="24"/>
          <w:szCs w:val="24"/>
          <w:u w:val="single"/>
        </w:rPr>
        <w:t>histleblowing Protection Policy</w:t>
      </w: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756B43">
        <w:rPr>
          <w:rFonts w:ascii="Times New Roman" w:hAnsi="Times New Roman" w:cs="Times New Roman"/>
          <w:sz w:val="24"/>
          <w:szCs w:val="24"/>
        </w:rPr>
        <w:t>The</w:t>
      </w:r>
      <w:r>
        <w:rPr>
          <w:rFonts w:ascii="Times New Roman" w:hAnsi="Times New Roman" w:cs="Times New Roman"/>
          <w:sz w:val="24"/>
          <w:szCs w:val="24"/>
        </w:rPr>
        <w:t xml:space="preserve"> Whistleblowing Protection Policy was created due to the requests of credit unions.  This policy includes guidelines on: the definition of whistleblowing; reporting responsibilities; acting in good faith; confidentiality; no retaliation and applicable laws.  The policy is based on </w:t>
      </w:r>
      <w:hyperlink r:id="rId9" w:history="1">
        <w:r w:rsidRPr="009F015A">
          <w:rPr>
            <w:rStyle w:val="Hyperlink"/>
            <w:rFonts w:ascii="Times New Roman" w:hAnsi="Times New Roman" w:cs="Times New Roman"/>
            <w:sz w:val="24"/>
            <w:szCs w:val="24"/>
          </w:rPr>
          <w:t>governmental guidance on whistleblowing</w:t>
        </w:r>
      </w:hyperlink>
      <w:r>
        <w:rPr>
          <w:rFonts w:ascii="Times New Roman" w:hAnsi="Times New Roman" w:cs="Times New Roman"/>
          <w:sz w:val="24"/>
          <w:szCs w:val="24"/>
        </w:rPr>
        <w:t xml:space="preserve">.  </w:t>
      </w:r>
      <w:r w:rsidRPr="009F015A">
        <w:rPr>
          <w:rFonts w:ascii="Times New Roman" w:hAnsi="Times New Roman" w:cs="Times New Roman"/>
          <w:color w:val="FF0000"/>
          <w:sz w:val="24"/>
          <w:szCs w:val="24"/>
        </w:rPr>
        <w:t>(New Policy)</w:t>
      </w:r>
    </w:p>
    <w:p w:rsidR="00D356EE" w:rsidRDefault="00D356EE" w:rsidP="00D356EE">
      <w:pPr>
        <w:spacing w:after="0"/>
        <w:rPr>
          <w:rFonts w:ascii="Times New Roman" w:hAnsi="Times New Roman" w:cs="Times New Roman"/>
          <w:sz w:val="24"/>
          <w:szCs w:val="24"/>
        </w:rPr>
      </w:pP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t>Policy 1</w:t>
      </w:r>
      <w:r>
        <w:rPr>
          <w:rFonts w:ascii="Times New Roman" w:hAnsi="Times New Roman" w:cs="Times New Roman"/>
          <w:b/>
          <w:sz w:val="24"/>
          <w:szCs w:val="24"/>
          <w:u w:val="single"/>
        </w:rPr>
        <w:t>6</w:t>
      </w:r>
      <w:r w:rsidRPr="00756B43">
        <w:rPr>
          <w:rFonts w:ascii="Times New Roman" w:hAnsi="Times New Roman" w:cs="Times New Roman"/>
          <w:b/>
          <w:sz w:val="24"/>
          <w:szCs w:val="24"/>
          <w:u w:val="single"/>
        </w:rPr>
        <w:t>5</w:t>
      </w:r>
      <w:r>
        <w:rPr>
          <w:rFonts w:ascii="Times New Roman" w:hAnsi="Times New Roman" w:cs="Times New Roman"/>
          <w:b/>
          <w:sz w:val="24"/>
          <w:szCs w:val="24"/>
          <w:u w:val="single"/>
        </w:rPr>
        <w:t>0</w:t>
      </w:r>
      <w:r w:rsidRPr="00756B43">
        <w:rPr>
          <w:rFonts w:ascii="Times New Roman" w:hAnsi="Times New Roman" w:cs="Times New Roman"/>
          <w:b/>
          <w:sz w:val="24"/>
          <w:szCs w:val="24"/>
          <w:u w:val="single"/>
        </w:rPr>
        <w:t xml:space="preserve"> – </w:t>
      </w:r>
      <w:r>
        <w:rPr>
          <w:rFonts w:ascii="Times New Roman" w:hAnsi="Times New Roman" w:cs="Times New Roman"/>
          <w:b/>
          <w:sz w:val="24"/>
          <w:szCs w:val="24"/>
          <w:u w:val="single"/>
        </w:rPr>
        <w:t>Gifts, Bribes or Kickbacks</w:t>
      </w: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hyperlink r:id="rId10" w:history="1">
        <w:r w:rsidRPr="00E36AC8">
          <w:rPr>
            <w:rStyle w:val="Hyperlink"/>
            <w:rFonts w:ascii="Times New Roman" w:hAnsi="Times New Roman" w:cs="Times New Roman"/>
            <w:sz w:val="24"/>
            <w:szCs w:val="24"/>
          </w:rPr>
          <w:t>Bank Bribery Act</w:t>
        </w:r>
      </w:hyperlink>
      <w:r>
        <w:rPr>
          <w:rFonts w:ascii="Times New Roman" w:hAnsi="Times New Roman" w:cs="Times New Roman"/>
          <w:sz w:val="24"/>
          <w:szCs w:val="24"/>
        </w:rPr>
        <w:t xml:space="preserve"> requirements have been added to the Gifts, Bribes or Kickbacks policy.  </w:t>
      </w:r>
      <w:r w:rsidRPr="00920892">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2190</w:t>
      </w:r>
      <w:r w:rsidRPr="00756B43">
        <w:rPr>
          <w:rFonts w:ascii="Times New Roman" w:hAnsi="Times New Roman" w:cs="Times New Roman"/>
          <w:b/>
          <w:sz w:val="24"/>
          <w:szCs w:val="24"/>
          <w:u w:val="single"/>
        </w:rPr>
        <w:t xml:space="preserve"> – </w:t>
      </w:r>
      <w:r>
        <w:rPr>
          <w:rFonts w:ascii="Times New Roman" w:hAnsi="Times New Roman" w:cs="Times New Roman"/>
          <w:b/>
          <w:sz w:val="24"/>
          <w:szCs w:val="24"/>
          <w:u w:val="single"/>
        </w:rPr>
        <w:t>Disaster Contingency Planning</w:t>
      </w:r>
    </w:p>
    <w:p w:rsidR="00D356EE" w:rsidRPr="00756B43" w:rsidRDefault="00D356EE" w:rsidP="00D356EE">
      <w:pPr>
        <w:spacing w:after="0"/>
        <w:rPr>
          <w:rFonts w:ascii="Times New Roman" w:hAnsi="Times New Roman" w:cs="Times New Roman"/>
          <w:b/>
          <w:sz w:val="24"/>
          <w:szCs w:val="24"/>
          <w:u w:val="single"/>
        </w:rPr>
      </w:pPr>
      <w:r w:rsidRPr="00756B43">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Section (2)(I) has been added to include the following requirement for disaster contingency planning for p</w:t>
      </w:r>
      <w:r w:rsidRPr="00507377">
        <w:rPr>
          <w:rFonts w:ascii="Times New Roman" w:hAnsi="Times New Roman" w:cs="Times New Roman"/>
          <w:sz w:val="24"/>
          <w:szCs w:val="24"/>
        </w:rPr>
        <w:t>rocedures explaining how service will continue to be provided to members; and under what circumstances service could be temporarily interrupted.</w:t>
      </w:r>
      <w:r>
        <w:rPr>
          <w:rFonts w:ascii="Times New Roman" w:hAnsi="Times New Roman" w:cs="Times New Roman"/>
          <w:sz w:val="24"/>
          <w:szCs w:val="24"/>
        </w:rPr>
        <w:t xml:space="preserve">  </w:t>
      </w:r>
      <w:r w:rsidRPr="00507377">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Pr="000F29B2" w:rsidRDefault="00D356EE" w:rsidP="00D356EE">
      <w:pPr>
        <w:spacing w:after="0"/>
        <w:rPr>
          <w:rFonts w:ascii="Times New Roman" w:hAnsi="Times New Roman" w:cs="Times New Roman"/>
          <w:b/>
          <w:sz w:val="24"/>
          <w:szCs w:val="24"/>
          <w:u w:val="single"/>
        </w:rPr>
      </w:pPr>
      <w:r w:rsidRPr="000F29B2">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2200</w:t>
      </w:r>
      <w:r w:rsidRPr="000F29B2">
        <w:rPr>
          <w:rFonts w:ascii="Times New Roman" w:hAnsi="Times New Roman" w:cs="Times New Roman"/>
          <w:b/>
          <w:sz w:val="24"/>
          <w:szCs w:val="24"/>
          <w:u w:val="single"/>
        </w:rPr>
        <w:t xml:space="preserve"> – </w:t>
      </w:r>
      <w:r>
        <w:rPr>
          <w:rFonts w:ascii="Times New Roman" w:hAnsi="Times New Roman" w:cs="Times New Roman"/>
          <w:b/>
          <w:sz w:val="24"/>
          <w:szCs w:val="24"/>
          <w:u w:val="single"/>
        </w:rPr>
        <w:t>E-Commerce</w:t>
      </w:r>
    </w:p>
    <w:p w:rsidR="00D356EE" w:rsidRPr="000F29B2" w:rsidRDefault="00D356EE" w:rsidP="00D356EE">
      <w:pPr>
        <w:spacing w:after="0"/>
        <w:rPr>
          <w:rFonts w:ascii="Times New Roman" w:hAnsi="Times New Roman" w:cs="Times New Roman"/>
          <w:b/>
          <w:sz w:val="24"/>
          <w:szCs w:val="24"/>
          <w:u w:val="single"/>
        </w:rPr>
      </w:pPr>
      <w:r w:rsidRPr="000F29B2">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0F29B2">
        <w:rPr>
          <w:rFonts w:ascii="Times New Roman" w:hAnsi="Times New Roman" w:cs="Times New Roman"/>
          <w:sz w:val="24"/>
          <w:szCs w:val="24"/>
        </w:rPr>
        <w:t>The</w:t>
      </w:r>
      <w:r>
        <w:rPr>
          <w:rFonts w:ascii="Times New Roman" w:hAnsi="Times New Roman" w:cs="Times New Roman"/>
          <w:sz w:val="24"/>
          <w:szCs w:val="24"/>
        </w:rPr>
        <w:t xml:space="preserve"> E-Commerce policy has been updated to reflect new technologies used by credit unions.  Section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now includes references to remote deposit capture (iv) and mobile banking (v).  References to Other Credit Union Policies have been removed.  Section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 now includes a requirement to comply with </w:t>
      </w:r>
      <w:r w:rsidRPr="00D77073">
        <w:rPr>
          <w:rFonts w:ascii="Times New Roman" w:hAnsi="Times New Roman" w:cs="Times New Roman"/>
          <w:sz w:val="24"/>
          <w:szCs w:val="24"/>
        </w:rPr>
        <w:t>all applicable state and Federal regulations and guidance.</w:t>
      </w:r>
      <w:r>
        <w:rPr>
          <w:rFonts w:ascii="Times New Roman" w:hAnsi="Times New Roman" w:cs="Times New Roman"/>
          <w:sz w:val="24"/>
          <w:szCs w:val="24"/>
        </w:rPr>
        <w:t xml:space="preserve">  Reference to SAS70 cited in Section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have been updated to reference Service Organization Controls.  Reference to system penetration testing in Section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now addresses system vulnerability testing.  Section (7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now addresses disaster contingency planning rather than disaster recovery planning.  </w:t>
      </w:r>
      <w:r w:rsidRPr="00B175DB">
        <w:rPr>
          <w:rFonts w:ascii="Times New Roman" w:hAnsi="Times New Roman" w:cs="Times New Roman"/>
          <w:color w:val="FF0000"/>
          <w:sz w:val="24"/>
          <w:szCs w:val="24"/>
        </w:rPr>
        <w:t>(</w:t>
      </w:r>
      <w:r>
        <w:rPr>
          <w:rFonts w:ascii="Times New Roman" w:hAnsi="Times New Roman" w:cs="Times New Roman"/>
          <w:color w:val="FF0000"/>
          <w:sz w:val="24"/>
          <w:szCs w:val="24"/>
        </w:rPr>
        <w:t>Recommendation</w:t>
      </w:r>
      <w:r w:rsidRPr="00B175DB">
        <w:rPr>
          <w:rFonts w:ascii="Times New Roman" w:hAnsi="Times New Roman" w:cs="Times New Roman"/>
          <w:color w:val="FF0000"/>
          <w:sz w:val="24"/>
          <w:szCs w:val="24"/>
        </w:rPr>
        <w:t>)</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94045A" w:rsidRDefault="00D356EE" w:rsidP="00D356EE">
      <w:pPr>
        <w:spacing w:after="0"/>
        <w:rPr>
          <w:rFonts w:ascii="Times New Roman" w:hAnsi="Times New Roman" w:cs="Times New Roman"/>
          <w:b/>
          <w:sz w:val="24"/>
          <w:szCs w:val="24"/>
          <w:u w:val="single"/>
        </w:rPr>
      </w:pPr>
      <w:r w:rsidRPr="0094045A">
        <w:rPr>
          <w:rFonts w:ascii="Times New Roman" w:hAnsi="Times New Roman" w:cs="Times New Roman"/>
          <w:b/>
          <w:sz w:val="24"/>
          <w:szCs w:val="24"/>
          <w:u w:val="single"/>
        </w:rPr>
        <w:lastRenderedPageBreak/>
        <w:t>Policy 22</w:t>
      </w:r>
      <w:r>
        <w:rPr>
          <w:rFonts w:ascii="Times New Roman" w:hAnsi="Times New Roman" w:cs="Times New Roman"/>
          <w:b/>
          <w:sz w:val="24"/>
          <w:szCs w:val="24"/>
          <w:u w:val="single"/>
        </w:rPr>
        <w:t>21</w:t>
      </w:r>
      <w:r w:rsidRPr="0094045A">
        <w:rPr>
          <w:rFonts w:ascii="Times New Roman" w:hAnsi="Times New Roman" w:cs="Times New Roman"/>
          <w:b/>
          <w:sz w:val="24"/>
          <w:szCs w:val="24"/>
          <w:u w:val="single"/>
        </w:rPr>
        <w:t xml:space="preserve"> – </w:t>
      </w:r>
      <w:r>
        <w:rPr>
          <w:rFonts w:ascii="Times New Roman" w:hAnsi="Times New Roman" w:cs="Times New Roman"/>
          <w:b/>
          <w:sz w:val="24"/>
          <w:szCs w:val="24"/>
          <w:u w:val="single"/>
        </w:rPr>
        <w:t>Web Site</w:t>
      </w:r>
    </w:p>
    <w:p w:rsidR="00D356EE" w:rsidRPr="0094045A" w:rsidRDefault="00D356EE" w:rsidP="00D356EE">
      <w:pPr>
        <w:spacing w:after="0"/>
        <w:rPr>
          <w:rFonts w:ascii="Times New Roman" w:hAnsi="Times New Roman" w:cs="Times New Roman"/>
          <w:b/>
          <w:sz w:val="24"/>
          <w:szCs w:val="24"/>
          <w:u w:val="single"/>
        </w:rPr>
      </w:pPr>
      <w:r w:rsidRPr="0094045A">
        <w:rPr>
          <w:rFonts w:ascii="Times New Roman" w:hAnsi="Times New Roman" w:cs="Times New Roman"/>
          <w:b/>
          <w:sz w:val="24"/>
          <w:szCs w:val="24"/>
          <w:u w:val="single"/>
        </w:rPr>
        <w:t>2013-3</w:t>
      </w:r>
    </w:p>
    <w:p w:rsidR="00D356EE" w:rsidRPr="0094045A"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Based on advancements in technology and increasing use of web sites by credit unions</w:t>
      </w:r>
      <w:r>
        <w:rPr>
          <w:rFonts w:ascii="Times New Roman" w:hAnsi="Times New Roman" w:cs="Times New Roman"/>
          <w:sz w:val="24"/>
          <w:szCs w:val="24"/>
        </w:rPr>
        <w:t>,</w:t>
      </w:r>
      <w:r>
        <w:rPr>
          <w:rFonts w:ascii="Times New Roman" w:hAnsi="Times New Roman" w:cs="Times New Roman"/>
          <w:sz w:val="24"/>
          <w:szCs w:val="24"/>
        </w:rPr>
        <w:t xml:space="preserve"> the Web Site policy has been updated.  The general policy statement now includes the statement that: u</w:t>
      </w:r>
      <w:r w:rsidRPr="00A329E2">
        <w:rPr>
          <w:rFonts w:ascii="Times New Roman" w:hAnsi="Times New Roman" w:cs="Times New Roman"/>
          <w:sz w:val="24"/>
          <w:szCs w:val="24"/>
        </w:rPr>
        <w:t>sing the World Wide Web (Web) is strongly encouraged in that it provides the Credit Union with a tool to convey information quickly and efficiently on a broad range of topics relating to its products, services, activities, objectives, policies and disclosures.</w:t>
      </w:r>
      <w:r>
        <w:rPr>
          <w:rFonts w:ascii="Times New Roman" w:hAnsi="Times New Roman" w:cs="Times New Roman"/>
          <w:sz w:val="24"/>
          <w:szCs w:val="24"/>
        </w:rPr>
        <w:t xml:space="preserve">  Section (1)(C)</w:t>
      </w:r>
      <w:r>
        <w:rPr>
          <w:rFonts w:ascii="Times New Roman" w:hAnsi="Times New Roman" w:cs="Times New Roman"/>
          <w:sz w:val="24"/>
          <w:szCs w:val="24"/>
        </w:rPr>
        <w:t xml:space="preserve"> was added so that m</w:t>
      </w:r>
      <w:r w:rsidRPr="00A329E2">
        <w:rPr>
          <w:rFonts w:ascii="Times New Roman" w:hAnsi="Times New Roman" w:cs="Times New Roman"/>
          <w:sz w:val="24"/>
          <w:szCs w:val="24"/>
        </w:rPr>
        <w:t>anagement together with the appropriate departments  shall work together to provide the necessary resources to adequately support Web Site operations to include equipping staff with the appropriate tools and staff training.</w:t>
      </w:r>
      <w:r>
        <w:rPr>
          <w:rFonts w:ascii="Times New Roman" w:hAnsi="Times New Roman" w:cs="Times New Roman"/>
          <w:sz w:val="24"/>
          <w:szCs w:val="24"/>
        </w:rPr>
        <w:t xml:space="preserve">  Additionally, Sections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C)(2) and (3) have been added addressing copyrighted materials and external web site links.  Finally, Section (7) includes vendor management guidance to </w:t>
      </w:r>
      <w:r w:rsidRPr="00132ED8">
        <w:rPr>
          <w:rFonts w:ascii="Times New Roman" w:hAnsi="Times New Roman" w:cs="Times New Roman"/>
          <w:sz w:val="24"/>
          <w:szCs w:val="24"/>
        </w:rPr>
        <w:t xml:space="preserve">ensure the operational integrity and security of the computer and network supporting the Web Site are maintained.  </w:t>
      </w:r>
      <w:r w:rsidRPr="00132ED8">
        <w:rPr>
          <w:rFonts w:ascii="Times New Roman" w:hAnsi="Times New Roman" w:cs="Times New Roman"/>
          <w:color w:val="FF0000"/>
          <w:sz w:val="24"/>
          <w:szCs w:val="24"/>
        </w:rPr>
        <w:t>(Recommended)</w:t>
      </w:r>
    </w:p>
    <w:p w:rsidR="00D356EE" w:rsidRDefault="00D356EE" w:rsidP="00D356EE">
      <w:pPr>
        <w:spacing w:after="0"/>
        <w:rPr>
          <w:rFonts w:ascii="Times New Roman" w:hAnsi="Times New Roman" w:cs="Times New Roman"/>
          <w:sz w:val="24"/>
          <w:szCs w:val="24"/>
        </w:rPr>
      </w:pPr>
    </w:p>
    <w:p w:rsidR="00D356EE" w:rsidRPr="0094045A" w:rsidRDefault="00D356EE" w:rsidP="00D356EE">
      <w:pPr>
        <w:spacing w:after="0"/>
        <w:rPr>
          <w:rFonts w:ascii="Times New Roman" w:hAnsi="Times New Roman" w:cs="Times New Roman"/>
          <w:b/>
          <w:sz w:val="24"/>
          <w:szCs w:val="24"/>
          <w:u w:val="single"/>
        </w:rPr>
      </w:pPr>
      <w:r w:rsidRPr="0094045A">
        <w:rPr>
          <w:rFonts w:ascii="Times New Roman" w:hAnsi="Times New Roman" w:cs="Times New Roman"/>
          <w:b/>
          <w:sz w:val="24"/>
          <w:szCs w:val="24"/>
          <w:u w:val="single"/>
        </w:rPr>
        <w:t>Policy 22</w:t>
      </w:r>
      <w:r>
        <w:rPr>
          <w:rFonts w:ascii="Times New Roman" w:hAnsi="Times New Roman" w:cs="Times New Roman"/>
          <w:b/>
          <w:sz w:val="24"/>
          <w:szCs w:val="24"/>
          <w:u w:val="single"/>
        </w:rPr>
        <w:t>22</w:t>
      </w:r>
      <w:r w:rsidRPr="0094045A">
        <w:rPr>
          <w:rFonts w:ascii="Times New Roman" w:hAnsi="Times New Roman" w:cs="Times New Roman"/>
          <w:b/>
          <w:sz w:val="24"/>
          <w:szCs w:val="24"/>
          <w:u w:val="single"/>
        </w:rPr>
        <w:t xml:space="preserve"> – </w:t>
      </w:r>
      <w:r>
        <w:rPr>
          <w:rFonts w:ascii="Times New Roman" w:hAnsi="Times New Roman" w:cs="Times New Roman"/>
          <w:b/>
          <w:sz w:val="24"/>
          <w:szCs w:val="24"/>
          <w:u w:val="single"/>
        </w:rPr>
        <w:t>Electronic Communications/Acceptable Use</w:t>
      </w:r>
    </w:p>
    <w:p w:rsidR="00D356EE" w:rsidRPr="0094045A" w:rsidRDefault="00D356EE" w:rsidP="00D356EE">
      <w:pPr>
        <w:spacing w:after="0"/>
        <w:rPr>
          <w:rFonts w:ascii="Times New Roman" w:hAnsi="Times New Roman" w:cs="Times New Roman"/>
          <w:b/>
          <w:sz w:val="24"/>
          <w:szCs w:val="24"/>
          <w:u w:val="single"/>
        </w:rPr>
      </w:pPr>
      <w:r w:rsidRPr="0094045A">
        <w:rPr>
          <w:rFonts w:ascii="Times New Roman" w:hAnsi="Times New Roman" w:cs="Times New Roman"/>
          <w:b/>
          <w:sz w:val="24"/>
          <w:szCs w:val="24"/>
          <w:u w:val="single"/>
        </w:rPr>
        <w:t>2013-3</w:t>
      </w:r>
    </w:p>
    <w:p w:rsidR="00D356EE" w:rsidRPr="00897261" w:rsidRDefault="00D356EE" w:rsidP="00D356EE">
      <w:pPr>
        <w:spacing w:after="0"/>
        <w:rPr>
          <w:rFonts w:ascii="Times New Roman" w:hAnsi="Times New Roman" w:cs="Times New Roman"/>
          <w:color w:val="FF0000"/>
          <w:sz w:val="24"/>
          <w:szCs w:val="24"/>
        </w:rPr>
      </w:pPr>
      <w:r w:rsidRPr="0094045A">
        <w:rPr>
          <w:rFonts w:ascii="Times New Roman" w:hAnsi="Times New Roman" w:cs="Times New Roman"/>
          <w:sz w:val="24"/>
          <w:szCs w:val="24"/>
        </w:rPr>
        <w:t>The</w:t>
      </w:r>
      <w:r>
        <w:rPr>
          <w:rFonts w:ascii="Times New Roman" w:hAnsi="Times New Roman" w:cs="Times New Roman"/>
          <w:sz w:val="24"/>
          <w:szCs w:val="24"/>
        </w:rPr>
        <w:t xml:space="preserve"> Electronic Communications/Acceptable Use policy has been revised to include new technology devices and guidance on their use.  The General Policy statement now makes reference to mobile communication devices and includes volunteers with employees who must follow policy guidelines.  Section (1) now includes the credit union’s network in the list of electronic communication means.   The right of the credit union to remove material from its information systems has been strengthened by removing the condition that material can be removed if it is viewed as offensive or potentially illegal.  Section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 has been amended to restrict access to information on computers and within credit union information systems.  Section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 includes a restriction to evade firewall protections using wireless access.  Section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 has been revised to state that i</w:t>
      </w:r>
      <w:r w:rsidRPr="00897261">
        <w:rPr>
          <w:rFonts w:ascii="Times New Roman" w:hAnsi="Times New Roman" w:cs="Times New Roman"/>
          <w:sz w:val="24"/>
          <w:szCs w:val="24"/>
        </w:rPr>
        <w:t>nformation collected and used by the Credit Union is considered to be Credit Union property</w:t>
      </w:r>
      <w:r>
        <w:rPr>
          <w:rFonts w:ascii="Times New Roman" w:hAnsi="Times New Roman" w:cs="Times New Roman"/>
          <w:sz w:val="24"/>
          <w:szCs w:val="24"/>
        </w:rPr>
        <w:t>.  Blogging is further addressed in Section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E)(i) to address management approval and monitoring.  Privacy expectations in Section (6) now include a new subsection (B) stating that e</w:t>
      </w:r>
      <w:r w:rsidRPr="00897261">
        <w:rPr>
          <w:rFonts w:ascii="Times New Roman" w:hAnsi="Times New Roman" w:cs="Times New Roman"/>
          <w:sz w:val="24"/>
          <w:szCs w:val="24"/>
        </w:rPr>
        <w:t>mployees will not send member non-public personal information, including, but not limited to, full account numbers and social security numbers in electronic communications that are not encrypted.</w:t>
      </w:r>
      <w:r>
        <w:rPr>
          <w:rFonts w:ascii="Times New Roman" w:hAnsi="Times New Roman" w:cs="Times New Roman"/>
          <w:sz w:val="24"/>
          <w:szCs w:val="24"/>
        </w:rPr>
        <w:t xml:space="preserve">  The protection of information integrity includes the requirement for prior management approval before employees downloading information onto the credit unions network, systems or computers.  Section (10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 now includes record storage in addition to management and related activities.  </w:t>
      </w:r>
      <w:r w:rsidRPr="00897261">
        <w:rPr>
          <w:rFonts w:ascii="Times New Roman" w:hAnsi="Times New Roman" w:cs="Times New Roman"/>
          <w:color w:val="FF0000"/>
          <w:sz w:val="24"/>
          <w:szCs w:val="24"/>
        </w:rPr>
        <w:t>(Recommended)</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lastRenderedPageBreak/>
        <w:t>Policy 22</w:t>
      </w:r>
      <w:r>
        <w:rPr>
          <w:rFonts w:ascii="Times New Roman" w:hAnsi="Times New Roman" w:cs="Times New Roman"/>
          <w:b/>
          <w:sz w:val="24"/>
          <w:szCs w:val="24"/>
          <w:u w:val="single"/>
        </w:rPr>
        <w:t>9</w:t>
      </w:r>
      <w:r w:rsidRPr="007423FE">
        <w:rPr>
          <w:rFonts w:ascii="Times New Roman" w:hAnsi="Times New Roman" w:cs="Times New Roman"/>
          <w:b/>
          <w:sz w:val="24"/>
          <w:szCs w:val="24"/>
          <w:u w:val="single"/>
        </w:rPr>
        <w:t xml:space="preserve">0 – </w:t>
      </w:r>
      <w:r>
        <w:rPr>
          <w:rFonts w:ascii="Times New Roman" w:hAnsi="Times New Roman" w:cs="Times New Roman"/>
          <w:b/>
          <w:sz w:val="24"/>
          <w:szCs w:val="24"/>
          <w:u w:val="single"/>
        </w:rPr>
        <w:t>Wire Transfer</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A technical correction has been made in Section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I)(v) correcting the reference of Regulation Z to 1026 rather than 226.  Section (8) for </w:t>
      </w:r>
      <w:proofErr w:type="gramStart"/>
      <w:r>
        <w:rPr>
          <w:rFonts w:ascii="Times New Roman" w:hAnsi="Times New Roman" w:cs="Times New Roman"/>
          <w:sz w:val="24"/>
          <w:szCs w:val="24"/>
        </w:rPr>
        <w:t>Foreign</w:t>
      </w:r>
      <w:proofErr w:type="gramEnd"/>
      <w:r>
        <w:rPr>
          <w:rFonts w:ascii="Times New Roman" w:hAnsi="Times New Roman" w:cs="Times New Roman"/>
          <w:sz w:val="24"/>
          <w:szCs w:val="24"/>
        </w:rPr>
        <w:t xml:space="preserve"> wires has been amended to include conditions for following new </w:t>
      </w:r>
      <w:hyperlink r:id="rId11" w:history="1">
        <w:r w:rsidRPr="005E5832">
          <w:rPr>
            <w:rStyle w:val="Hyperlink"/>
            <w:rFonts w:ascii="Times New Roman" w:hAnsi="Times New Roman" w:cs="Times New Roman"/>
            <w:sz w:val="24"/>
            <w:szCs w:val="24"/>
          </w:rPr>
          <w:t>International Remittance Transfer</w:t>
        </w:r>
      </w:hyperlink>
      <w:r>
        <w:rPr>
          <w:rFonts w:ascii="Times New Roman" w:hAnsi="Times New Roman" w:cs="Times New Roman"/>
          <w:sz w:val="24"/>
          <w:szCs w:val="24"/>
        </w:rPr>
        <w:t xml:space="preserve"> (IRT) requirements published by the Consumer Financial Protection Bureau (CFPB).  Distinctions are provided as to when IRT classify for the new regulatory requirements and reference the new International Remittance Transfer Policy.  </w:t>
      </w:r>
      <w:r w:rsidRPr="00E03DBD">
        <w:rPr>
          <w:rFonts w:ascii="Times New Roman" w:hAnsi="Times New Roman" w:cs="Times New Roman"/>
          <w:color w:val="FF0000"/>
          <w:sz w:val="24"/>
          <w:szCs w:val="24"/>
        </w:rPr>
        <w:t>(Required)</w:t>
      </w:r>
    </w:p>
    <w:p w:rsidR="00D356EE" w:rsidRPr="007423F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Policy 2</w:t>
      </w:r>
      <w:r>
        <w:rPr>
          <w:rFonts w:ascii="Times New Roman" w:hAnsi="Times New Roman" w:cs="Times New Roman"/>
          <w:b/>
          <w:sz w:val="24"/>
          <w:szCs w:val="24"/>
          <w:u w:val="single"/>
        </w:rPr>
        <w:t>6</w:t>
      </w:r>
      <w:r w:rsidRPr="007423FE">
        <w:rPr>
          <w:rFonts w:ascii="Times New Roman" w:hAnsi="Times New Roman" w:cs="Times New Roman"/>
          <w:b/>
          <w:sz w:val="24"/>
          <w:szCs w:val="24"/>
          <w:u w:val="single"/>
        </w:rPr>
        <w:t>00 – E</w:t>
      </w:r>
      <w:r>
        <w:rPr>
          <w:rFonts w:ascii="Times New Roman" w:hAnsi="Times New Roman" w:cs="Times New Roman"/>
          <w:b/>
          <w:sz w:val="24"/>
          <w:szCs w:val="24"/>
          <w:u w:val="single"/>
        </w:rPr>
        <w:t>lectronic Fund Transfer</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Pr="007423FE" w:rsidRDefault="00D356EE" w:rsidP="00D356EE">
      <w:pPr>
        <w:spacing w:after="0"/>
        <w:rPr>
          <w:rFonts w:ascii="Times New Roman" w:hAnsi="Times New Roman" w:cs="Times New Roman"/>
          <w:sz w:val="24"/>
          <w:szCs w:val="24"/>
        </w:rPr>
      </w:pPr>
      <w:r w:rsidRPr="007423FE">
        <w:rPr>
          <w:rFonts w:ascii="Times New Roman" w:hAnsi="Times New Roman" w:cs="Times New Roman"/>
          <w:sz w:val="24"/>
          <w:szCs w:val="24"/>
        </w:rPr>
        <w:t>The</w:t>
      </w:r>
      <w:r>
        <w:rPr>
          <w:rFonts w:ascii="Times New Roman" w:hAnsi="Times New Roman" w:cs="Times New Roman"/>
          <w:sz w:val="24"/>
          <w:szCs w:val="24"/>
        </w:rPr>
        <w:t xml:space="preserve"> Electronic Fund Transfer Policy was revised to include requirements for </w:t>
      </w:r>
      <w:hyperlink r:id="rId12" w:history="1">
        <w:r w:rsidRPr="005E5832">
          <w:rPr>
            <w:rStyle w:val="Hyperlink"/>
            <w:rFonts w:ascii="Times New Roman" w:hAnsi="Times New Roman" w:cs="Times New Roman"/>
            <w:sz w:val="24"/>
            <w:szCs w:val="24"/>
          </w:rPr>
          <w:t>International Remittance Transfers</w:t>
        </w:r>
      </w:hyperlink>
      <w:r>
        <w:rPr>
          <w:rFonts w:ascii="Times New Roman" w:hAnsi="Times New Roman" w:cs="Times New Roman"/>
          <w:sz w:val="24"/>
          <w:szCs w:val="24"/>
        </w:rPr>
        <w:t xml:space="preserve"> as required by Regulation E as amended by the CFPB.  These new requirements are addressed in Section (7) and include the requirements for disclosures, estimates, cancelation, preauthorized international remittance transfers, error resolutions, and error remedies.  </w:t>
      </w:r>
      <w:r w:rsidRPr="00D87174">
        <w:rPr>
          <w:rFonts w:ascii="Times New Roman" w:hAnsi="Times New Roman" w:cs="Times New Roman"/>
          <w:color w:val="FF0000"/>
          <w:sz w:val="24"/>
          <w:szCs w:val="24"/>
        </w:rPr>
        <w:t xml:space="preserve">(Required) </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NEW  -</w:t>
      </w:r>
      <w:proofErr w:type="gramEnd"/>
      <w:r>
        <w:rPr>
          <w:rFonts w:ascii="Times New Roman" w:hAnsi="Times New Roman" w:cs="Times New Roman"/>
          <w:b/>
          <w:sz w:val="24"/>
          <w:szCs w:val="24"/>
          <w:u w:val="single"/>
        </w:rPr>
        <w:t xml:space="preserve"> </w:t>
      </w:r>
      <w:r w:rsidRPr="007423FE">
        <w:rPr>
          <w:rFonts w:ascii="Times New Roman" w:hAnsi="Times New Roman" w:cs="Times New Roman"/>
          <w:b/>
          <w:sz w:val="24"/>
          <w:szCs w:val="24"/>
          <w:u w:val="single"/>
        </w:rPr>
        <w:t>Policy 2</w:t>
      </w:r>
      <w:r>
        <w:rPr>
          <w:rFonts w:ascii="Times New Roman" w:hAnsi="Times New Roman" w:cs="Times New Roman"/>
          <w:b/>
          <w:sz w:val="24"/>
          <w:szCs w:val="24"/>
          <w:u w:val="single"/>
        </w:rPr>
        <w:t>6</w:t>
      </w:r>
      <w:r w:rsidRPr="007423FE">
        <w:rPr>
          <w:rFonts w:ascii="Times New Roman" w:hAnsi="Times New Roman" w:cs="Times New Roman"/>
          <w:b/>
          <w:sz w:val="24"/>
          <w:szCs w:val="24"/>
          <w:u w:val="single"/>
        </w:rPr>
        <w:t>0</w:t>
      </w:r>
      <w:r>
        <w:rPr>
          <w:rFonts w:ascii="Times New Roman" w:hAnsi="Times New Roman" w:cs="Times New Roman"/>
          <w:b/>
          <w:sz w:val="24"/>
          <w:szCs w:val="24"/>
          <w:u w:val="single"/>
        </w:rPr>
        <w:t>5</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 xml:space="preserve">International Remittance Transfer </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Pr="00F14B79" w:rsidRDefault="00D356EE" w:rsidP="00D356EE">
      <w:pPr>
        <w:spacing w:after="0"/>
        <w:rPr>
          <w:rFonts w:ascii="Times New Roman" w:hAnsi="Times New Roman" w:cs="Times New Roman"/>
          <w:color w:val="FF0000"/>
          <w:sz w:val="24"/>
          <w:szCs w:val="24"/>
        </w:rPr>
      </w:pPr>
      <w:r w:rsidRPr="007423FE">
        <w:rPr>
          <w:rFonts w:ascii="Times New Roman" w:hAnsi="Times New Roman" w:cs="Times New Roman"/>
          <w:sz w:val="24"/>
          <w:szCs w:val="24"/>
        </w:rPr>
        <w:t>The</w:t>
      </w:r>
      <w:r>
        <w:rPr>
          <w:rFonts w:ascii="Times New Roman" w:hAnsi="Times New Roman" w:cs="Times New Roman"/>
          <w:sz w:val="24"/>
          <w:szCs w:val="24"/>
        </w:rPr>
        <w:t xml:space="preserve"> International Remittance Transfer Policy was created to address the new </w:t>
      </w:r>
      <w:hyperlink r:id="rId13" w:history="1">
        <w:r w:rsidRPr="00F14B79">
          <w:rPr>
            <w:rStyle w:val="Hyperlink"/>
            <w:rFonts w:ascii="Times New Roman" w:hAnsi="Times New Roman" w:cs="Times New Roman"/>
            <w:sz w:val="24"/>
            <w:szCs w:val="24"/>
          </w:rPr>
          <w:t>International Remittance Transfer rules</w:t>
        </w:r>
      </w:hyperlink>
      <w:r>
        <w:rPr>
          <w:rFonts w:ascii="Times New Roman" w:hAnsi="Times New Roman" w:cs="Times New Roman"/>
          <w:sz w:val="24"/>
          <w:szCs w:val="24"/>
        </w:rPr>
        <w:t xml:space="preserve"> that were created as a result of the Dodd-Frank Wall Street Reform and Consumer Protection Act and instituted by the CFPB.  The new policy includes requirements for </w:t>
      </w:r>
      <w:r w:rsidRPr="00F14B79">
        <w:rPr>
          <w:rFonts w:ascii="Times New Roman" w:hAnsi="Times New Roman" w:cs="Times New Roman"/>
          <w:sz w:val="24"/>
          <w:szCs w:val="24"/>
        </w:rPr>
        <w:t xml:space="preserve">disclosures, estimates, cancelation, preauthorized international remittance transfers, error resolutions, and error remedies.  </w:t>
      </w:r>
      <w:r w:rsidRPr="00F14B79">
        <w:rPr>
          <w:rFonts w:ascii="Times New Roman" w:hAnsi="Times New Roman" w:cs="Times New Roman"/>
          <w:color w:val="FF0000"/>
          <w:sz w:val="24"/>
          <w:szCs w:val="24"/>
        </w:rPr>
        <w:t xml:space="preserve">(Required) </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6</w:t>
      </w:r>
      <w:r w:rsidRPr="007423FE">
        <w:rPr>
          <w:rFonts w:ascii="Times New Roman" w:hAnsi="Times New Roman" w:cs="Times New Roman"/>
          <w:b/>
          <w:sz w:val="24"/>
          <w:szCs w:val="24"/>
          <w:u w:val="single"/>
        </w:rPr>
        <w:t xml:space="preserve">220 – </w:t>
      </w:r>
      <w:r>
        <w:rPr>
          <w:rFonts w:ascii="Times New Roman" w:hAnsi="Times New Roman" w:cs="Times New Roman"/>
          <w:b/>
          <w:sz w:val="24"/>
          <w:szCs w:val="24"/>
          <w:u w:val="single"/>
        </w:rPr>
        <w:t>Non-Deposit Investment Products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946BD3">
        <w:rPr>
          <w:rFonts w:ascii="Times New Roman" w:hAnsi="Times New Roman" w:cs="Times New Roman"/>
          <w:sz w:val="24"/>
          <w:szCs w:val="24"/>
        </w:rPr>
        <w:t>A technical correction has been made in Section (</w:t>
      </w:r>
      <w:r>
        <w:rPr>
          <w:rFonts w:ascii="Times New Roman" w:hAnsi="Times New Roman" w:cs="Times New Roman"/>
          <w:sz w:val="24"/>
          <w:szCs w:val="24"/>
        </w:rPr>
        <w:t>6</w:t>
      </w:r>
      <w:proofErr w:type="gramStart"/>
      <w:r w:rsidRPr="00946BD3">
        <w:rPr>
          <w:rFonts w:ascii="Times New Roman" w:hAnsi="Times New Roman" w:cs="Times New Roman"/>
          <w:sz w:val="24"/>
          <w:szCs w:val="24"/>
        </w:rPr>
        <w:t>)(</w:t>
      </w:r>
      <w:proofErr w:type="gramEnd"/>
      <w:r>
        <w:rPr>
          <w:rFonts w:ascii="Times New Roman" w:hAnsi="Times New Roman" w:cs="Times New Roman"/>
          <w:sz w:val="24"/>
          <w:szCs w:val="24"/>
        </w:rPr>
        <w:t>A</w:t>
      </w:r>
      <w:r w:rsidRPr="00946BD3">
        <w:rPr>
          <w:rFonts w:ascii="Times New Roman" w:hAnsi="Times New Roman" w:cs="Times New Roman"/>
          <w:sz w:val="24"/>
          <w:szCs w:val="24"/>
        </w:rPr>
        <w:t xml:space="preserve">) </w:t>
      </w:r>
      <w:r>
        <w:rPr>
          <w:rFonts w:ascii="Times New Roman" w:hAnsi="Times New Roman" w:cs="Times New Roman"/>
          <w:sz w:val="24"/>
          <w:szCs w:val="24"/>
        </w:rPr>
        <w:t xml:space="preserve">changing </w:t>
      </w:r>
      <w:r w:rsidRPr="00946BD3">
        <w:rPr>
          <w:rFonts w:ascii="Times New Roman" w:hAnsi="Times New Roman" w:cs="Times New Roman"/>
          <w:sz w:val="24"/>
          <w:szCs w:val="24"/>
        </w:rPr>
        <w:t>the reference</w:t>
      </w:r>
      <w:r>
        <w:rPr>
          <w:rFonts w:ascii="Times New Roman" w:hAnsi="Times New Roman" w:cs="Times New Roman"/>
          <w:sz w:val="24"/>
          <w:szCs w:val="24"/>
        </w:rPr>
        <w:t xml:space="preserve"> to the National Association of Securities Dealers (NASD) to the Financial Industry Regulatory Authority (FINRA). </w:t>
      </w:r>
      <w:r w:rsidRPr="00946BD3">
        <w:rPr>
          <w:rFonts w:ascii="Times New Roman" w:hAnsi="Times New Roman" w:cs="Times New Roman"/>
          <w:color w:val="FF0000"/>
          <w:sz w:val="24"/>
          <w:szCs w:val="24"/>
        </w:rPr>
        <w:t xml:space="preserve"> (Clarification)</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7</w:t>
      </w:r>
      <w:r w:rsidRPr="007423FE">
        <w:rPr>
          <w:rFonts w:ascii="Times New Roman" w:hAnsi="Times New Roman" w:cs="Times New Roman"/>
          <w:b/>
          <w:sz w:val="24"/>
          <w:szCs w:val="24"/>
          <w:u w:val="single"/>
        </w:rPr>
        <w:t xml:space="preserve">200 – </w:t>
      </w:r>
      <w:r>
        <w:rPr>
          <w:rFonts w:ascii="Times New Roman" w:hAnsi="Times New Roman" w:cs="Times New Roman"/>
          <w:b/>
          <w:sz w:val="24"/>
          <w:szCs w:val="24"/>
          <w:u w:val="single"/>
        </w:rPr>
        <w:t>Consumer Loans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Pr="007423F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Technical amendments have been made to Section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 through (E) to correctly identify regulations that have transferred over to the oversight of the CFPB.  The regulatory references that have been updated include: </w:t>
      </w:r>
      <w:hyperlink r:id="rId14" w:history="1">
        <w:r w:rsidRPr="00CB6EB9">
          <w:rPr>
            <w:rStyle w:val="Hyperlink"/>
            <w:rFonts w:ascii="Times New Roman" w:hAnsi="Times New Roman" w:cs="Times New Roman"/>
            <w:sz w:val="24"/>
            <w:szCs w:val="24"/>
          </w:rPr>
          <w:t>Regulation B – Equal Credit Opportunity Act</w:t>
        </w:r>
      </w:hyperlink>
      <w:r>
        <w:rPr>
          <w:rFonts w:ascii="Times New Roman" w:hAnsi="Times New Roman" w:cs="Times New Roman"/>
          <w:sz w:val="24"/>
          <w:szCs w:val="24"/>
        </w:rPr>
        <w:t xml:space="preserve">; </w:t>
      </w:r>
      <w:hyperlink r:id="rId15" w:history="1">
        <w:r w:rsidRPr="00CB6EB9">
          <w:rPr>
            <w:rStyle w:val="Hyperlink"/>
            <w:rFonts w:ascii="Times New Roman" w:hAnsi="Times New Roman" w:cs="Times New Roman"/>
            <w:sz w:val="24"/>
            <w:szCs w:val="24"/>
          </w:rPr>
          <w:t>Fair Credit Reporting Act</w:t>
        </w:r>
      </w:hyperlink>
      <w:r>
        <w:rPr>
          <w:rFonts w:ascii="Times New Roman" w:hAnsi="Times New Roman" w:cs="Times New Roman"/>
          <w:sz w:val="24"/>
          <w:szCs w:val="24"/>
        </w:rPr>
        <w:t xml:space="preserve">; and </w:t>
      </w:r>
      <w:hyperlink r:id="rId16" w:history="1">
        <w:r w:rsidRPr="00CB6EB9">
          <w:rPr>
            <w:rStyle w:val="Hyperlink"/>
            <w:rFonts w:ascii="Times New Roman" w:hAnsi="Times New Roman" w:cs="Times New Roman"/>
            <w:sz w:val="24"/>
            <w:szCs w:val="24"/>
          </w:rPr>
          <w:t>Regulation C – Home Mortgage Disclosure Act</w:t>
        </w:r>
      </w:hyperlink>
      <w:r>
        <w:rPr>
          <w:rFonts w:ascii="Times New Roman" w:hAnsi="Times New Roman" w:cs="Times New Roman"/>
          <w:sz w:val="24"/>
          <w:szCs w:val="24"/>
        </w:rPr>
        <w:t xml:space="preserve">. </w:t>
      </w:r>
      <w:r w:rsidRPr="001F17FF">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lastRenderedPageBreak/>
        <w:t xml:space="preserve">Policy </w:t>
      </w:r>
      <w:r>
        <w:rPr>
          <w:rFonts w:ascii="Times New Roman" w:hAnsi="Times New Roman" w:cs="Times New Roman"/>
          <w:b/>
          <w:sz w:val="24"/>
          <w:szCs w:val="24"/>
          <w:u w:val="single"/>
        </w:rPr>
        <w:t>7250</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Truth-in-Lending Disclosures for Open-End Credit</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1F17FF">
        <w:rPr>
          <w:rFonts w:ascii="Times New Roman" w:hAnsi="Times New Roman" w:cs="Times New Roman"/>
          <w:sz w:val="24"/>
          <w:szCs w:val="24"/>
        </w:rPr>
        <w:t>Technical amendments have been made to Section (</w:t>
      </w:r>
      <w:r>
        <w:rPr>
          <w:rFonts w:ascii="Times New Roman" w:hAnsi="Times New Roman" w:cs="Times New Roman"/>
          <w:sz w:val="24"/>
          <w:szCs w:val="24"/>
        </w:rPr>
        <w:t>D</w:t>
      </w:r>
      <w:proofErr w:type="gramStart"/>
      <w:r w:rsidRPr="001F17FF">
        <w:rPr>
          <w:rFonts w:ascii="Times New Roman" w:hAnsi="Times New Roman" w:cs="Times New Roman"/>
          <w:sz w:val="24"/>
          <w:szCs w:val="24"/>
        </w:rPr>
        <w:t>)(</w:t>
      </w:r>
      <w:proofErr w:type="gramEnd"/>
      <w:r>
        <w:rPr>
          <w:rFonts w:ascii="Times New Roman" w:hAnsi="Times New Roman" w:cs="Times New Roman"/>
          <w:sz w:val="24"/>
          <w:szCs w:val="24"/>
        </w:rPr>
        <w:t>ii</w:t>
      </w:r>
      <w:r w:rsidRPr="001F17FF">
        <w:rPr>
          <w:rFonts w:ascii="Times New Roman" w:hAnsi="Times New Roman" w:cs="Times New Roman"/>
          <w:sz w:val="24"/>
          <w:szCs w:val="24"/>
        </w:rPr>
        <w:t>)</w:t>
      </w:r>
      <w:r>
        <w:rPr>
          <w:rFonts w:ascii="Times New Roman" w:hAnsi="Times New Roman" w:cs="Times New Roman"/>
          <w:sz w:val="24"/>
          <w:szCs w:val="24"/>
        </w:rPr>
        <w:t xml:space="preserve">(3)(d) and </w:t>
      </w:r>
      <w:r w:rsidRPr="001F17FF">
        <w:rPr>
          <w:rFonts w:ascii="Times New Roman" w:hAnsi="Times New Roman" w:cs="Times New Roman"/>
          <w:sz w:val="24"/>
          <w:szCs w:val="24"/>
        </w:rPr>
        <w:t xml:space="preserve"> (</w:t>
      </w:r>
      <w:r>
        <w:rPr>
          <w:rFonts w:ascii="Times New Roman" w:hAnsi="Times New Roman" w:cs="Times New Roman"/>
          <w:sz w:val="24"/>
          <w:szCs w:val="24"/>
        </w:rPr>
        <w:t>7</w:t>
      </w:r>
      <w:r w:rsidRPr="001F17FF">
        <w:rPr>
          <w:rFonts w:ascii="Times New Roman" w:hAnsi="Times New Roman" w:cs="Times New Roman"/>
          <w:sz w:val="24"/>
          <w:szCs w:val="24"/>
        </w:rPr>
        <w:t>)</w:t>
      </w:r>
      <w:r>
        <w:rPr>
          <w:rFonts w:ascii="Times New Roman" w:hAnsi="Times New Roman" w:cs="Times New Roman"/>
          <w:sz w:val="24"/>
          <w:szCs w:val="24"/>
        </w:rPr>
        <w:t xml:space="preserve">(B) </w:t>
      </w:r>
      <w:r w:rsidRPr="001F17FF">
        <w:rPr>
          <w:rFonts w:ascii="Times New Roman" w:hAnsi="Times New Roman" w:cs="Times New Roman"/>
          <w:sz w:val="24"/>
          <w:szCs w:val="24"/>
        </w:rPr>
        <w:t xml:space="preserve">to correctly identify </w:t>
      </w:r>
      <w:hyperlink r:id="rId17" w:history="1">
        <w:r w:rsidRPr="001F17FF">
          <w:rPr>
            <w:rStyle w:val="Hyperlink"/>
            <w:rFonts w:ascii="Times New Roman" w:hAnsi="Times New Roman" w:cs="Times New Roman"/>
            <w:sz w:val="24"/>
            <w:szCs w:val="24"/>
          </w:rPr>
          <w:t>Regulation Z – Truth in Lending</w:t>
        </w:r>
      </w:hyperlink>
      <w:r>
        <w:rPr>
          <w:rFonts w:ascii="Times New Roman" w:hAnsi="Times New Roman" w:cs="Times New Roman"/>
          <w:sz w:val="24"/>
          <w:szCs w:val="24"/>
        </w:rPr>
        <w:t xml:space="preserve"> </w:t>
      </w:r>
      <w:r w:rsidRPr="001F17FF">
        <w:rPr>
          <w:rFonts w:ascii="Times New Roman" w:hAnsi="Times New Roman" w:cs="Times New Roman"/>
          <w:sz w:val="24"/>
          <w:szCs w:val="24"/>
        </w:rPr>
        <w:t>that ha</w:t>
      </w:r>
      <w:r>
        <w:rPr>
          <w:rFonts w:ascii="Times New Roman" w:hAnsi="Times New Roman" w:cs="Times New Roman"/>
          <w:sz w:val="24"/>
          <w:szCs w:val="24"/>
        </w:rPr>
        <w:t xml:space="preserve">s been </w:t>
      </w:r>
      <w:r w:rsidRPr="001F17FF">
        <w:rPr>
          <w:rFonts w:ascii="Times New Roman" w:hAnsi="Times New Roman" w:cs="Times New Roman"/>
          <w:sz w:val="24"/>
          <w:szCs w:val="24"/>
        </w:rPr>
        <w:t>transferred over to the oversight</w:t>
      </w:r>
      <w:r>
        <w:rPr>
          <w:rFonts w:ascii="Times New Roman" w:hAnsi="Times New Roman" w:cs="Times New Roman"/>
          <w:sz w:val="24"/>
          <w:szCs w:val="24"/>
        </w:rPr>
        <w:t xml:space="preserve"> of the CFPB. </w:t>
      </w:r>
    </w:p>
    <w:p w:rsidR="00D356EE" w:rsidRPr="001F17FF" w:rsidRDefault="00D356EE" w:rsidP="00D356EE">
      <w:pPr>
        <w:spacing w:after="0"/>
        <w:rPr>
          <w:rFonts w:ascii="Times New Roman" w:hAnsi="Times New Roman" w:cs="Times New Roman"/>
          <w:color w:val="FF0000"/>
          <w:sz w:val="24"/>
          <w:szCs w:val="24"/>
        </w:rPr>
      </w:pPr>
      <w:r w:rsidRPr="001F17FF">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7251</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Regulation Z – Home Equity Plans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Pr="00E2042D" w:rsidRDefault="00D356EE" w:rsidP="00D356EE">
      <w:pPr>
        <w:spacing w:after="0"/>
        <w:rPr>
          <w:rFonts w:ascii="Times New Roman" w:hAnsi="Times New Roman" w:cs="Times New Roman"/>
          <w:sz w:val="24"/>
          <w:szCs w:val="24"/>
        </w:rPr>
      </w:pPr>
      <w:r w:rsidRPr="00E2042D">
        <w:rPr>
          <w:rFonts w:ascii="Times New Roman" w:hAnsi="Times New Roman" w:cs="Times New Roman"/>
          <w:sz w:val="24"/>
          <w:szCs w:val="24"/>
        </w:rPr>
        <w:t>Technical amendments have been made to Section</w:t>
      </w:r>
      <w:r>
        <w:rPr>
          <w:rFonts w:ascii="Times New Roman" w:hAnsi="Times New Roman" w:cs="Times New Roman"/>
          <w:sz w:val="24"/>
          <w:szCs w:val="24"/>
        </w:rPr>
        <w:t xml:space="preserve"> (5</w:t>
      </w:r>
      <w:proofErr w:type="gramStart"/>
      <w:r>
        <w:rPr>
          <w:rFonts w:ascii="Times New Roman" w:hAnsi="Times New Roman" w:cs="Times New Roman"/>
          <w:sz w:val="24"/>
          <w:szCs w:val="24"/>
        </w:rPr>
        <w:t>)</w:t>
      </w:r>
      <w:r w:rsidRPr="00E2042D">
        <w:rPr>
          <w:rFonts w:ascii="Times New Roman" w:hAnsi="Times New Roman" w:cs="Times New Roman"/>
          <w:sz w:val="24"/>
          <w:szCs w:val="24"/>
        </w:rPr>
        <w:t>(</w:t>
      </w:r>
      <w:proofErr w:type="gramEnd"/>
      <w:r w:rsidRPr="00E2042D">
        <w:rPr>
          <w:rFonts w:ascii="Times New Roman" w:hAnsi="Times New Roman" w:cs="Times New Roman"/>
          <w:sz w:val="24"/>
          <w:szCs w:val="24"/>
        </w:rPr>
        <w:t>D)(</w:t>
      </w:r>
      <w:r>
        <w:rPr>
          <w:rFonts w:ascii="Times New Roman" w:hAnsi="Times New Roman" w:cs="Times New Roman"/>
          <w:sz w:val="24"/>
          <w:szCs w:val="24"/>
        </w:rPr>
        <w:t>i</w:t>
      </w:r>
      <w:r w:rsidRPr="00E2042D">
        <w:rPr>
          <w:rFonts w:ascii="Times New Roman" w:hAnsi="Times New Roman" w:cs="Times New Roman"/>
          <w:sz w:val="24"/>
          <w:szCs w:val="24"/>
        </w:rPr>
        <w:t>) and  (</w:t>
      </w:r>
      <w:r>
        <w:rPr>
          <w:rFonts w:ascii="Times New Roman" w:hAnsi="Times New Roman" w:cs="Times New Roman"/>
          <w:sz w:val="24"/>
          <w:szCs w:val="24"/>
        </w:rPr>
        <w:t>6</w:t>
      </w:r>
      <w:r w:rsidRPr="00E2042D">
        <w:rPr>
          <w:rFonts w:ascii="Times New Roman" w:hAnsi="Times New Roman" w:cs="Times New Roman"/>
          <w:sz w:val="24"/>
          <w:szCs w:val="24"/>
        </w:rPr>
        <w:t>)(</w:t>
      </w:r>
      <w:r>
        <w:rPr>
          <w:rFonts w:ascii="Times New Roman" w:hAnsi="Times New Roman" w:cs="Times New Roman"/>
          <w:sz w:val="24"/>
          <w:szCs w:val="24"/>
        </w:rPr>
        <w:t>D</w:t>
      </w:r>
      <w:r w:rsidRPr="00E2042D">
        <w:rPr>
          <w:rFonts w:ascii="Times New Roman" w:hAnsi="Times New Roman" w:cs="Times New Roman"/>
          <w:sz w:val="24"/>
          <w:szCs w:val="24"/>
        </w:rPr>
        <w:t>)</w:t>
      </w:r>
      <w:r>
        <w:rPr>
          <w:rFonts w:ascii="Times New Roman" w:hAnsi="Times New Roman" w:cs="Times New Roman"/>
          <w:sz w:val="24"/>
          <w:szCs w:val="24"/>
        </w:rPr>
        <w:t>(i)</w:t>
      </w:r>
      <w:r w:rsidRPr="00E2042D">
        <w:rPr>
          <w:rFonts w:ascii="Times New Roman" w:hAnsi="Times New Roman" w:cs="Times New Roman"/>
          <w:sz w:val="24"/>
          <w:szCs w:val="24"/>
        </w:rPr>
        <w:t xml:space="preserve"> to correctly identify </w:t>
      </w:r>
      <w:hyperlink r:id="rId18" w:history="1">
        <w:r w:rsidRPr="00E2042D">
          <w:rPr>
            <w:rStyle w:val="Hyperlink"/>
            <w:rFonts w:ascii="Times New Roman" w:hAnsi="Times New Roman" w:cs="Times New Roman"/>
            <w:sz w:val="24"/>
            <w:szCs w:val="24"/>
          </w:rPr>
          <w:t>Regulation Z – Truth in Lending</w:t>
        </w:r>
      </w:hyperlink>
      <w:r w:rsidRPr="00E2042D">
        <w:rPr>
          <w:rFonts w:ascii="Times New Roman" w:hAnsi="Times New Roman" w:cs="Times New Roman"/>
          <w:sz w:val="24"/>
          <w:szCs w:val="24"/>
        </w:rPr>
        <w:t xml:space="preserve"> that has been transferred over to the oversight of the CFPB. </w:t>
      </w:r>
    </w:p>
    <w:p w:rsidR="00D356EE" w:rsidRPr="00E2042D" w:rsidRDefault="00D356EE" w:rsidP="00D356EE">
      <w:pPr>
        <w:spacing w:after="0"/>
        <w:rPr>
          <w:rFonts w:ascii="Times New Roman" w:hAnsi="Times New Roman" w:cs="Times New Roman"/>
          <w:sz w:val="24"/>
          <w:szCs w:val="24"/>
        </w:rPr>
      </w:pPr>
      <w:r w:rsidRPr="00E2042D">
        <w:rPr>
          <w:rFonts w:ascii="Times New Roman" w:hAnsi="Times New Roman" w:cs="Times New Roman"/>
          <w:sz w:val="24"/>
          <w:szCs w:val="24"/>
        </w:rPr>
        <w:t>(Clarification)</w:t>
      </w:r>
    </w:p>
    <w:p w:rsidR="00D356EE" w:rsidRPr="00E9254E" w:rsidRDefault="00D356EE" w:rsidP="00D356EE">
      <w:pPr>
        <w:spacing w:after="0"/>
        <w:rPr>
          <w:rFonts w:ascii="Times New Roman" w:hAnsi="Times New Roman" w:cs="Times New Roman"/>
          <w:sz w:val="24"/>
          <w:szCs w:val="24"/>
        </w:rPr>
      </w:pPr>
    </w:p>
    <w:p w:rsidR="00D356EE" w:rsidRDefault="00D356EE" w:rsidP="00D356EE">
      <w:pPr>
        <w:spacing w:after="0"/>
        <w:rPr>
          <w:rFonts w:ascii="Times New Roman" w:hAnsi="Times New Roman" w:cs="Times New Roman"/>
          <w:b/>
          <w:sz w:val="24"/>
          <w:szCs w:val="24"/>
        </w:rPr>
      </w:pPr>
      <w:r w:rsidRPr="000200F1">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 xml:space="preserve">7301 - </w:t>
      </w:r>
      <w:r w:rsidRPr="00DB6217">
        <w:rPr>
          <w:rFonts w:ascii="Times New Roman" w:hAnsi="Times New Roman" w:cs="Times New Roman"/>
          <w:b/>
          <w:sz w:val="24"/>
          <w:szCs w:val="24"/>
          <w:u w:val="single"/>
        </w:rPr>
        <w:t>Registration of Mortgage Loan Originators (Safe Act</w:t>
      </w:r>
      <w:proofErr w:type="gramStart"/>
      <w:r w:rsidRPr="00DB6217">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br/>
      </w:r>
      <w:r>
        <w:rPr>
          <w:rFonts w:ascii="Times New Roman" w:hAnsi="Times New Roman" w:cs="Times New Roman"/>
          <w:b/>
          <w:sz w:val="24"/>
          <w:szCs w:val="24"/>
        </w:rPr>
        <w:t>2013-3</w:t>
      </w:r>
    </w:p>
    <w:p w:rsidR="00D356EE" w:rsidRDefault="00D356EE" w:rsidP="00D356EE">
      <w:pPr>
        <w:spacing w:after="0"/>
        <w:rPr>
          <w:rFonts w:ascii="Times New Roman" w:hAnsi="Times New Roman" w:cs="Times New Roman"/>
          <w:color w:val="FF0000"/>
          <w:sz w:val="24"/>
          <w:szCs w:val="24"/>
        </w:rPr>
      </w:pPr>
      <w:r w:rsidRPr="00C638BA">
        <w:rPr>
          <w:rFonts w:ascii="Times New Roman" w:hAnsi="Times New Roman" w:cs="Times New Roman"/>
          <w:sz w:val="24"/>
          <w:szCs w:val="24"/>
        </w:rPr>
        <w:t>Section</w:t>
      </w:r>
      <w:r>
        <w:rPr>
          <w:rFonts w:ascii="Times New Roman" w:hAnsi="Times New Roman" w:cs="Times New Roman"/>
          <w:sz w:val="24"/>
          <w:szCs w:val="24"/>
        </w:rPr>
        <w:t xml:space="preserve">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 was amended to reflect and further clarify the </w:t>
      </w:r>
      <w:hyperlink r:id="rId19" w:history="1">
        <w:r w:rsidRPr="00D1322B">
          <w:rPr>
            <w:rStyle w:val="Hyperlink"/>
            <w:rFonts w:ascii="Times New Roman" w:hAnsi="Times New Roman" w:cs="Times New Roman"/>
            <w:sz w:val="24"/>
            <w:szCs w:val="24"/>
          </w:rPr>
          <w:t>Mortgage Loan Originator Compensation Requirements</w:t>
        </w:r>
      </w:hyperlink>
      <w:r>
        <w:rPr>
          <w:rFonts w:ascii="Times New Roman" w:hAnsi="Times New Roman" w:cs="Times New Roman"/>
          <w:sz w:val="24"/>
          <w:szCs w:val="24"/>
        </w:rPr>
        <w:t xml:space="preserve"> to Regulation Z as finalized by the Consumer Financial Protection Bureau.  </w:t>
      </w:r>
      <w:r w:rsidRPr="00FD74F0">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Pr="00E2042D" w:rsidRDefault="00D356EE" w:rsidP="00D356EE">
      <w:pPr>
        <w:spacing w:after="0"/>
        <w:rPr>
          <w:rFonts w:ascii="Times New Roman" w:hAnsi="Times New Roman" w:cs="Times New Roman"/>
          <w:b/>
          <w:sz w:val="24"/>
          <w:szCs w:val="24"/>
          <w:u w:val="single"/>
        </w:rPr>
      </w:pPr>
      <w:r w:rsidRPr="00E2042D">
        <w:rPr>
          <w:rFonts w:ascii="Times New Roman" w:hAnsi="Times New Roman" w:cs="Times New Roman"/>
          <w:b/>
          <w:sz w:val="24"/>
          <w:szCs w:val="24"/>
          <w:u w:val="single"/>
        </w:rPr>
        <w:t>Policy 7</w:t>
      </w:r>
      <w:r>
        <w:rPr>
          <w:rFonts w:ascii="Times New Roman" w:hAnsi="Times New Roman" w:cs="Times New Roman"/>
          <w:b/>
          <w:sz w:val="24"/>
          <w:szCs w:val="24"/>
          <w:u w:val="single"/>
        </w:rPr>
        <w:t>315</w:t>
      </w:r>
      <w:r w:rsidRPr="00E2042D">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Commercial Real Estate Loan Workouts</w:t>
      </w:r>
    </w:p>
    <w:p w:rsidR="00D356EE" w:rsidRPr="00E2042D" w:rsidRDefault="00D356EE" w:rsidP="00D356EE">
      <w:pPr>
        <w:spacing w:after="0"/>
        <w:rPr>
          <w:rFonts w:ascii="Times New Roman" w:hAnsi="Times New Roman" w:cs="Times New Roman"/>
          <w:b/>
          <w:sz w:val="24"/>
          <w:szCs w:val="24"/>
          <w:u w:val="single"/>
        </w:rPr>
      </w:pPr>
      <w:r w:rsidRPr="00E2042D">
        <w:rPr>
          <w:rFonts w:ascii="Times New Roman" w:hAnsi="Times New Roman" w:cs="Times New Roman"/>
          <w:b/>
          <w:sz w:val="24"/>
          <w:szCs w:val="24"/>
          <w:u w:val="single"/>
        </w:rPr>
        <w:t>2013-3</w:t>
      </w:r>
    </w:p>
    <w:p w:rsidR="00D356EE" w:rsidRPr="00E2042D" w:rsidRDefault="00D356EE" w:rsidP="00D356EE">
      <w:pPr>
        <w:spacing w:after="0"/>
        <w:rPr>
          <w:rFonts w:ascii="Times New Roman" w:hAnsi="Times New Roman" w:cs="Times New Roman"/>
          <w:sz w:val="24"/>
          <w:szCs w:val="24"/>
        </w:rPr>
      </w:pPr>
      <w:proofErr w:type="gramStart"/>
      <w:r w:rsidRPr="00E2042D">
        <w:rPr>
          <w:rFonts w:ascii="Times New Roman" w:hAnsi="Times New Roman" w:cs="Times New Roman"/>
          <w:sz w:val="24"/>
          <w:szCs w:val="24"/>
        </w:rPr>
        <w:t>Guidelines for Considerations has</w:t>
      </w:r>
      <w:proofErr w:type="gramEnd"/>
      <w:r w:rsidRPr="00E2042D">
        <w:rPr>
          <w:rFonts w:ascii="Times New Roman" w:hAnsi="Times New Roman" w:cs="Times New Roman"/>
          <w:sz w:val="24"/>
          <w:szCs w:val="24"/>
        </w:rPr>
        <w:t xml:space="preserve"> been reclassif</w:t>
      </w:r>
      <w:r>
        <w:rPr>
          <w:rFonts w:ascii="Times New Roman" w:hAnsi="Times New Roman" w:cs="Times New Roman"/>
          <w:sz w:val="24"/>
          <w:szCs w:val="24"/>
        </w:rPr>
        <w:t xml:space="preserve">ied as Eligibility Requirements.  Based on the NCUA guidance for </w:t>
      </w:r>
      <w:hyperlink r:id="rId20" w:history="1">
        <w:r w:rsidRPr="00916588">
          <w:rPr>
            <w:rStyle w:val="Hyperlink"/>
            <w:rFonts w:ascii="Times New Roman" w:hAnsi="Times New Roman" w:cs="Times New Roman"/>
            <w:sz w:val="24"/>
            <w:szCs w:val="24"/>
          </w:rPr>
          <w:t>Loan Workouts and Nonaccrual Policy</w:t>
        </w:r>
      </w:hyperlink>
      <w:r>
        <w:rPr>
          <w:rFonts w:ascii="Times New Roman" w:hAnsi="Times New Roman" w:cs="Times New Roman"/>
          <w:sz w:val="24"/>
          <w:szCs w:val="24"/>
        </w:rPr>
        <w:t xml:space="preserve"> Section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 now includes the requirement to review current credit reports and receive income verification.   Additionally, further guidance has been provided in Section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C)(i) and (ii) to include property condition requirements for determining property value and lien position.  Section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C)(iii) has been added to address the requirements that c credit union estimate the cost to the credit union </w:t>
      </w:r>
      <w:r w:rsidRPr="00916588">
        <w:rPr>
          <w:rFonts w:ascii="Times New Roman" w:hAnsi="Times New Roman" w:cs="Times New Roman"/>
          <w:sz w:val="24"/>
          <w:szCs w:val="24"/>
        </w:rPr>
        <w:t>, as measured by a NPV test, of any approved modification to verify it is less than the estimated cost of foreclosure or other foreclosure prevention alternative (e.g., short sale, deed in lieu of foreclosure, cash for keys, etc.), unless extenuating circumstances exist, and document the NPV analysis in the loan file.</w:t>
      </w:r>
      <w:r>
        <w:rPr>
          <w:rFonts w:ascii="Times New Roman" w:hAnsi="Times New Roman" w:cs="Times New Roman"/>
          <w:sz w:val="24"/>
          <w:szCs w:val="24"/>
        </w:rPr>
        <w:t xml:space="preserve">  </w:t>
      </w:r>
      <w:r w:rsidRPr="00916588">
        <w:rPr>
          <w:rFonts w:ascii="Times New Roman" w:hAnsi="Times New Roman" w:cs="Times New Roman"/>
          <w:color w:val="FF0000"/>
          <w:sz w:val="24"/>
          <w:szCs w:val="24"/>
        </w:rPr>
        <w:t>(Required)</w:t>
      </w:r>
    </w:p>
    <w:p w:rsidR="00D356EE" w:rsidRDefault="00D356EE" w:rsidP="00D356EE">
      <w:pPr>
        <w:spacing w:after="0"/>
        <w:rPr>
          <w:rFonts w:ascii="Times New Roman" w:hAnsi="Times New Roman" w:cs="Times New Roman"/>
          <w:b/>
          <w:sz w:val="24"/>
          <w:szCs w:val="24"/>
          <w:u w:val="single"/>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7420</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Member Business Loans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Pr="007423F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 xml:space="preserve">Due to increased examiner scrutiny of the </w:t>
      </w:r>
      <w:hyperlink r:id="rId21" w:history="1">
        <w:r w:rsidRPr="003F533E">
          <w:rPr>
            <w:rStyle w:val="Hyperlink"/>
            <w:rFonts w:ascii="Times New Roman" w:hAnsi="Times New Roman" w:cs="Times New Roman"/>
            <w:sz w:val="24"/>
            <w:szCs w:val="24"/>
          </w:rPr>
          <w:t>Flood Disaster Protection Act</w:t>
        </w:r>
      </w:hyperlink>
      <w:r>
        <w:rPr>
          <w:rFonts w:ascii="Times New Roman" w:hAnsi="Times New Roman" w:cs="Times New Roman"/>
          <w:sz w:val="24"/>
          <w:szCs w:val="24"/>
        </w:rPr>
        <w:t xml:space="preserve"> the Member Business Loan Policy has been amended to include flood insurance requirements for member business loans in Section (10)(E).  This guidance includes requirements for determination, fees, notice, flood insurance requirements, and record retention.</w:t>
      </w:r>
      <w:r w:rsidRPr="003F533E">
        <w:rPr>
          <w:rFonts w:ascii="Times New Roman" w:hAnsi="Times New Roman" w:cs="Times New Roman"/>
          <w:color w:val="FF0000"/>
          <w:sz w:val="24"/>
          <w:szCs w:val="24"/>
        </w:rPr>
        <w:t xml:space="preserve">  (Recommended)   </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3F533E" w:rsidRDefault="00D356EE" w:rsidP="00D356EE">
      <w:pPr>
        <w:spacing w:after="0"/>
        <w:rPr>
          <w:rFonts w:ascii="Times New Roman" w:hAnsi="Times New Roman" w:cs="Times New Roman"/>
          <w:b/>
          <w:sz w:val="24"/>
          <w:szCs w:val="24"/>
          <w:u w:val="single"/>
        </w:rPr>
      </w:pPr>
      <w:r w:rsidRPr="003F533E">
        <w:rPr>
          <w:rFonts w:ascii="Times New Roman" w:hAnsi="Times New Roman" w:cs="Times New Roman"/>
          <w:b/>
          <w:sz w:val="24"/>
          <w:szCs w:val="24"/>
          <w:u w:val="single"/>
        </w:rPr>
        <w:lastRenderedPageBreak/>
        <w:t>Policy 74</w:t>
      </w:r>
      <w:r>
        <w:rPr>
          <w:rFonts w:ascii="Times New Roman" w:hAnsi="Times New Roman" w:cs="Times New Roman"/>
          <w:b/>
          <w:sz w:val="24"/>
          <w:szCs w:val="24"/>
          <w:u w:val="single"/>
        </w:rPr>
        <w:t>3</w:t>
      </w:r>
      <w:r w:rsidRPr="003F533E">
        <w:rPr>
          <w:rFonts w:ascii="Times New Roman" w:hAnsi="Times New Roman" w:cs="Times New Roman"/>
          <w:b/>
          <w:sz w:val="24"/>
          <w:szCs w:val="24"/>
          <w:u w:val="single"/>
        </w:rPr>
        <w:t xml:space="preserve">0 – </w:t>
      </w:r>
      <w:r>
        <w:rPr>
          <w:rFonts w:ascii="Times New Roman" w:hAnsi="Times New Roman" w:cs="Times New Roman"/>
          <w:b/>
          <w:sz w:val="24"/>
          <w:szCs w:val="24"/>
          <w:u w:val="single"/>
        </w:rPr>
        <w:t>Participation Loans</w:t>
      </w:r>
    </w:p>
    <w:p w:rsidR="00D356EE" w:rsidRPr="003F533E" w:rsidRDefault="00D356EE" w:rsidP="00D356EE">
      <w:pPr>
        <w:spacing w:after="0"/>
        <w:rPr>
          <w:rFonts w:ascii="Times New Roman" w:hAnsi="Times New Roman" w:cs="Times New Roman"/>
          <w:b/>
          <w:sz w:val="24"/>
          <w:szCs w:val="24"/>
          <w:u w:val="single"/>
        </w:rPr>
      </w:pPr>
      <w:r w:rsidRPr="003F533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color w:val="FF0000"/>
          <w:sz w:val="24"/>
          <w:szCs w:val="24"/>
        </w:rPr>
      </w:pPr>
      <w:r>
        <w:rPr>
          <w:rFonts w:ascii="Times New Roman" w:hAnsi="Times New Roman" w:cs="Times New Roman"/>
          <w:sz w:val="24"/>
          <w:szCs w:val="24"/>
        </w:rPr>
        <w:t xml:space="preserve">The NCUA provided guidance and additional regulatory requirements for loan participations that were published in </w:t>
      </w:r>
      <w:hyperlink r:id="rId22" w:history="1">
        <w:r w:rsidRPr="003F166D">
          <w:rPr>
            <w:rStyle w:val="Hyperlink"/>
            <w:rFonts w:ascii="Times New Roman" w:hAnsi="Times New Roman" w:cs="Times New Roman"/>
            <w:sz w:val="24"/>
            <w:szCs w:val="24"/>
          </w:rPr>
          <w:t>12 CFR Parts 701 and 741</w:t>
        </w:r>
      </w:hyperlink>
      <w:r>
        <w:rPr>
          <w:rFonts w:ascii="Times New Roman" w:hAnsi="Times New Roman" w:cs="Times New Roman"/>
          <w:sz w:val="24"/>
          <w:szCs w:val="24"/>
        </w:rPr>
        <w:t>.  The loan participation policy has been amended to include membership requirements in General Considerations.  Section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 now includes the regulatory concentration limits.  Section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A)(iv) includes information on the required timing for NCUA waivers.  Section (6) includes a new subsection (B) with participating interest limitations.  Section (7) has been amended to include purchase eligibility in Section (7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and the requirements for a participation agreement are included in Section (7)(E).  </w:t>
      </w:r>
      <w:r w:rsidRPr="00913C1C">
        <w:rPr>
          <w:rFonts w:ascii="Times New Roman" w:hAnsi="Times New Roman" w:cs="Times New Roman"/>
          <w:color w:val="FF0000"/>
          <w:sz w:val="24"/>
          <w:szCs w:val="24"/>
        </w:rPr>
        <w:t xml:space="preserve">(Required) </w:t>
      </w:r>
    </w:p>
    <w:p w:rsidR="00D356EE" w:rsidRDefault="00D356EE" w:rsidP="00D356EE">
      <w:pPr>
        <w:spacing w:after="0"/>
        <w:rPr>
          <w:rFonts w:ascii="Times New Roman" w:hAnsi="Times New Roman" w:cs="Times New Roman"/>
          <w:color w:val="FF0000"/>
          <w:sz w:val="24"/>
          <w:szCs w:val="24"/>
        </w:rPr>
      </w:pPr>
    </w:p>
    <w:p w:rsidR="00D356EE" w:rsidRPr="00903820" w:rsidRDefault="00D356EE" w:rsidP="00D356EE">
      <w:pPr>
        <w:spacing w:after="0"/>
        <w:rPr>
          <w:rFonts w:ascii="Times New Roman" w:hAnsi="Times New Roman" w:cs="Times New Roman"/>
          <w:b/>
          <w:sz w:val="24"/>
          <w:szCs w:val="24"/>
          <w:u w:val="single"/>
        </w:rPr>
      </w:pPr>
      <w:r w:rsidRPr="00903820">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7616</w:t>
      </w:r>
      <w:r w:rsidRPr="00903820">
        <w:rPr>
          <w:rFonts w:ascii="Times New Roman" w:hAnsi="Times New Roman" w:cs="Times New Roman"/>
          <w:b/>
          <w:sz w:val="24"/>
          <w:szCs w:val="24"/>
          <w:u w:val="single"/>
        </w:rPr>
        <w:t xml:space="preserve"> – </w:t>
      </w:r>
      <w:r>
        <w:rPr>
          <w:rFonts w:ascii="Times New Roman" w:hAnsi="Times New Roman" w:cs="Times New Roman"/>
          <w:b/>
          <w:sz w:val="24"/>
          <w:szCs w:val="24"/>
          <w:u w:val="single"/>
        </w:rPr>
        <w:t>Loan Extensions</w:t>
      </w:r>
    </w:p>
    <w:p w:rsidR="00D356EE" w:rsidRPr="00903820" w:rsidRDefault="00D356EE" w:rsidP="00D356EE">
      <w:pPr>
        <w:spacing w:after="0"/>
        <w:rPr>
          <w:rFonts w:ascii="Times New Roman" w:hAnsi="Times New Roman" w:cs="Times New Roman"/>
          <w:b/>
          <w:sz w:val="24"/>
          <w:szCs w:val="24"/>
          <w:u w:val="single"/>
        </w:rPr>
      </w:pPr>
      <w:r w:rsidRPr="00903820">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903820">
        <w:rPr>
          <w:rFonts w:ascii="Times New Roman" w:hAnsi="Times New Roman" w:cs="Times New Roman"/>
          <w:sz w:val="24"/>
          <w:szCs w:val="24"/>
        </w:rPr>
        <w:t xml:space="preserve">Based on the NCUA guidance for </w:t>
      </w:r>
      <w:hyperlink r:id="rId23" w:history="1">
        <w:r w:rsidRPr="00903820">
          <w:rPr>
            <w:rStyle w:val="Hyperlink"/>
            <w:rFonts w:ascii="Times New Roman" w:hAnsi="Times New Roman" w:cs="Times New Roman"/>
            <w:sz w:val="24"/>
            <w:szCs w:val="24"/>
          </w:rPr>
          <w:t>Loan Workouts and Nonaccrual Policy</w:t>
        </w:r>
      </w:hyperlink>
      <w:r w:rsidRPr="00903820">
        <w:rPr>
          <w:rFonts w:ascii="Times New Roman" w:hAnsi="Times New Roman" w:cs="Times New Roman"/>
          <w:sz w:val="24"/>
          <w:szCs w:val="24"/>
        </w:rPr>
        <w:t xml:space="preserve"> Section (2</w:t>
      </w:r>
      <w:proofErr w:type="gramStart"/>
      <w:r w:rsidRPr="00903820">
        <w:rPr>
          <w:rFonts w:ascii="Times New Roman" w:hAnsi="Times New Roman" w:cs="Times New Roman"/>
          <w:sz w:val="24"/>
          <w:szCs w:val="24"/>
        </w:rPr>
        <w:t>)(</w:t>
      </w:r>
      <w:proofErr w:type="gramEnd"/>
      <w:r>
        <w:rPr>
          <w:rFonts w:ascii="Times New Roman" w:hAnsi="Times New Roman" w:cs="Times New Roman"/>
          <w:sz w:val="24"/>
          <w:szCs w:val="24"/>
        </w:rPr>
        <w:t>D</w:t>
      </w:r>
      <w:r w:rsidRPr="00903820">
        <w:rPr>
          <w:rFonts w:ascii="Times New Roman" w:hAnsi="Times New Roman" w:cs="Times New Roman"/>
          <w:sz w:val="24"/>
          <w:szCs w:val="24"/>
        </w:rPr>
        <w:t>) now includes the</w:t>
      </w:r>
      <w:r>
        <w:rPr>
          <w:rFonts w:ascii="Times New Roman" w:hAnsi="Times New Roman" w:cs="Times New Roman"/>
          <w:sz w:val="24"/>
          <w:szCs w:val="24"/>
        </w:rPr>
        <w:t xml:space="preserve"> requirements to consider the members current credit situation that must be verified . </w:t>
      </w:r>
    </w:p>
    <w:p w:rsidR="00D356EE" w:rsidRPr="00903820" w:rsidRDefault="00D356EE" w:rsidP="00D356EE">
      <w:pPr>
        <w:spacing w:after="0"/>
        <w:rPr>
          <w:rFonts w:ascii="Times New Roman" w:hAnsi="Times New Roman" w:cs="Times New Roman"/>
          <w:color w:val="FF0000"/>
          <w:sz w:val="24"/>
          <w:szCs w:val="24"/>
        </w:rPr>
      </w:pPr>
      <w:r w:rsidRPr="00903820">
        <w:rPr>
          <w:rFonts w:ascii="Times New Roman" w:hAnsi="Times New Roman" w:cs="Times New Roman"/>
          <w:color w:val="FF0000"/>
          <w:sz w:val="24"/>
          <w:szCs w:val="24"/>
        </w:rPr>
        <w:t>(Required)</w:t>
      </w:r>
    </w:p>
    <w:p w:rsidR="00D356EE" w:rsidRDefault="00D356EE" w:rsidP="00D356EE">
      <w:pPr>
        <w:spacing w:after="0"/>
        <w:rPr>
          <w:rFonts w:ascii="Times New Roman" w:hAnsi="Times New Roman" w:cs="Times New Roman"/>
          <w:sz w:val="24"/>
          <w:szCs w:val="24"/>
        </w:rPr>
      </w:pPr>
    </w:p>
    <w:p w:rsidR="00D356EE" w:rsidRPr="00F97631" w:rsidRDefault="00D356EE" w:rsidP="00D356EE">
      <w:pPr>
        <w:spacing w:after="0"/>
        <w:rPr>
          <w:rFonts w:ascii="Times New Roman" w:hAnsi="Times New Roman" w:cs="Times New Roman"/>
          <w:b/>
          <w:sz w:val="24"/>
          <w:szCs w:val="24"/>
          <w:u w:val="single"/>
        </w:rPr>
      </w:pPr>
      <w:r w:rsidRPr="00F97631">
        <w:rPr>
          <w:rFonts w:ascii="Times New Roman" w:hAnsi="Times New Roman" w:cs="Times New Roman"/>
          <w:b/>
          <w:sz w:val="24"/>
          <w:szCs w:val="24"/>
          <w:u w:val="single"/>
        </w:rPr>
        <w:t>Policy 76</w:t>
      </w:r>
      <w:r>
        <w:rPr>
          <w:rFonts w:ascii="Times New Roman" w:hAnsi="Times New Roman" w:cs="Times New Roman"/>
          <w:b/>
          <w:sz w:val="24"/>
          <w:szCs w:val="24"/>
          <w:u w:val="single"/>
        </w:rPr>
        <w:t>25</w:t>
      </w:r>
      <w:r w:rsidRPr="00F97631">
        <w:rPr>
          <w:rFonts w:ascii="Times New Roman" w:hAnsi="Times New Roman" w:cs="Times New Roman"/>
          <w:b/>
          <w:sz w:val="24"/>
          <w:szCs w:val="24"/>
          <w:u w:val="single"/>
        </w:rPr>
        <w:t xml:space="preserve"> – </w:t>
      </w:r>
      <w:r>
        <w:rPr>
          <w:rFonts w:ascii="Times New Roman" w:hAnsi="Times New Roman" w:cs="Times New Roman"/>
          <w:b/>
          <w:sz w:val="24"/>
          <w:szCs w:val="24"/>
          <w:u w:val="single"/>
        </w:rPr>
        <w:t xml:space="preserve">Residential Real Estate Loss Mitigation Strategies </w:t>
      </w:r>
    </w:p>
    <w:p w:rsidR="00D356EE" w:rsidRPr="00F97631" w:rsidRDefault="00D356EE" w:rsidP="00D356EE">
      <w:pPr>
        <w:spacing w:after="0"/>
        <w:rPr>
          <w:rFonts w:ascii="Times New Roman" w:hAnsi="Times New Roman" w:cs="Times New Roman"/>
          <w:b/>
          <w:sz w:val="24"/>
          <w:szCs w:val="24"/>
          <w:u w:val="single"/>
        </w:rPr>
      </w:pPr>
      <w:r w:rsidRPr="00F97631">
        <w:rPr>
          <w:rFonts w:ascii="Times New Roman" w:hAnsi="Times New Roman" w:cs="Times New Roman"/>
          <w:b/>
          <w:sz w:val="24"/>
          <w:szCs w:val="24"/>
          <w:u w:val="single"/>
        </w:rPr>
        <w:t>2013-3</w:t>
      </w:r>
    </w:p>
    <w:p w:rsidR="00D356EE" w:rsidRPr="00F97631" w:rsidRDefault="00D356EE" w:rsidP="00D356EE">
      <w:pPr>
        <w:spacing w:after="0"/>
        <w:rPr>
          <w:rFonts w:ascii="Times New Roman" w:hAnsi="Times New Roman" w:cs="Times New Roman"/>
          <w:sz w:val="24"/>
          <w:szCs w:val="24"/>
        </w:rPr>
      </w:pPr>
      <w:proofErr w:type="gramStart"/>
      <w:r w:rsidRPr="00F97631">
        <w:rPr>
          <w:rFonts w:ascii="Times New Roman" w:hAnsi="Times New Roman" w:cs="Times New Roman"/>
          <w:sz w:val="24"/>
          <w:szCs w:val="24"/>
        </w:rPr>
        <w:t>Guidelines for Considerations has</w:t>
      </w:r>
      <w:proofErr w:type="gramEnd"/>
      <w:r w:rsidRPr="00F97631">
        <w:rPr>
          <w:rFonts w:ascii="Times New Roman" w:hAnsi="Times New Roman" w:cs="Times New Roman"/>
          <w:sz w:val="24"/>
          <w:szCs w:val="24"/>
        </w:rPr>
        <w:t xml:space="preserve"> been reclassified as Eligibility Requirements.  Based on the NCUA guidance for </w:t>
      </w:r>
      <w:hyperlink r:id="rId24" w:history="1">
        <w:r w:rsidRPr="00F97631">
          <w:rPr>
            <w:rStyle w:val="Hyperlink"/>
            <w:rFonts w:ascii="Times New Roman" w:hAnsi="Times New Roman" w:cs="Times New Roman"/>
            <w:sz w:val="24"/>
            <w:szCs w:val="24"/>
          </w:rPr>
          <w:t>Loan Workouts and Nonaccrual Policy</w:t>
        </w:r>
      </w:hyperlink>
      <w:r w:rsidRPr="00F97631">
        <w:rPr>
          <w:rFonts w:ascii="Times New Roman" w:hAnsi="Times New Roman" w:cs="Times New Roman"/>
          <w:sz w:val="24"/>
          <w:szCs w:val="24"/>
        </w:rPr>
        <w:t xml:space="preserve"> Section (</w:t>
      </w:r>
      <w:r>
        <w:rPr>
          <w:rFonts w:ascii="Times New Roman" w:hAnsi="Times New Roman" w:cs="Times New Roman"/>
          <w:sz w:val="24"/>
          <w:szCs w:val="24"/>
        </w:rPr>
        <w:t>3</w:t>
      </w:r>
      <w:proofErr w:type="gramStart"/>
      <w:r w:rsidRPr="00F97631">
        <w:rPr>
          <w:rFonts w:ascii="Times New Roman" w:hAnsi="Times New Roman" w:cs="Times New Roman"/>
          <w:sz w:val="24"/>
          <w:szCs w:val="24"/>
        </w:rPr>
        <w:t>)(</w:t>
      </w:r>
      <w:proofErr w:type="gramEnd"/>
      <w:r w:rsidRPr="00F97631">
        <w:rPr>
          <w:rFonts w:ascii="Times New Roman" w:hAnsi="Times New Roman" w:cs="Times New Roman"/>
          <w:sz w:val="24"/>
          <w:szCs w:val="24"/>
        </w:rPr>
        <w:t>A)(i) now includes the requirement to review current credit reports and receive income verification.   Additionally, further guidance has been provided in Section (</w:t>
      </w:r>
      <w:r>
        <w:rPr>
          <w:rFonts w:ascii="Times New Roman" w:hAnsi="Times New Roman" w:cs="Times New Roman"/>
          <w:sz w:val="24"/>
          <w:szCs w:val="24"/>
        </w:rPr>
        <w:t>3</w:t>
      </w:r>
      <w:proofErr w:type="gramStart"/>
      <w:r w:rsidRPr="00F97631">
        <w:rPr>
          <w:rFonts w:ascii="Times New Roman" w:hAnsi="Times New Roman" w:cs="Times New Roman"/>
          <w:sz w:val="24"/>
          <w:szCs w:val="24"/>
        </w:rPr>
        <w:t>)(</w:t>
      </w:r>
      <w:proofErr w:type="gramEnd"/>
      <w:r w:rsidRPr="00F97631">
        <w:rPr>
          <w:rFonts w:ascii="Times New Roman" w:hAnsi="Times New Roman" w:cs="Times New Roman"/>
          <w:sz w:val="24"/>
          <w:szCs w:val="24"/>
        </w:rPr>
        <w:t xml:space="preserve">C)(i) and </w:t>
      </w:r>
      <w:r>
        <w:rPr>
          <w:rFonts w:ascii="Times New Roman" w:hAnsi="Times New Roman" w:cs="Times New Roman"/>
          <w:sz w:val="24"/>
          <w:szCs w:val="24"/>
        </w:rPr>
        <w:t>(3)(D0</w:t>
      </w:r>
      <w:r w:rsidRPr="00F97631">
        <w:rPr>
          <w:rFonts w:ascii="Times New Roman" w:hAnsi="Times New Roman" w:cs="Times New Roman"/>
          <w:sz w:val="24"/>
          <w:szCs w:val="24"/>
        </w:rPr>
        <w:t>(i) to include property condition requirements for determining property value and lien position.  Section (</w:t>
      </w:r>
      <w:r>
        <w:rPr>
          <w:rFonts w:ascii="Times New Roman" w:hAnsi="Times New Roman" w:cs="Times New Roman"/>
          <w:sz w:val="24"/>
          <w:szCs w:val="24"/>
        </w:rPr>
        <w:t>5</w:t>
      </w:r>
      <w:proofErr w:type="gramStart"/>
      <w:r w:rsidRPr="00F97631">
        <w:rPr>
          <w:rFonts w:ascii="Times New Roman" w:hAnsi="Times New Roman" w:cs="Times New Roman"/>
          <w:sz w:val="24"/>
          <w:szCs w:val="24"/>
        </w:rPr>
        <w:t>)(</w:t>
      </w:r>
      <w:proofErr w:type="gramEnd"/>
      <w:r w:rsidRPr="00F97631">
        <w:rPr>
          <w:rFonts w:ascii="Times New Roman" w:hAnsi="Times New Roman" w:cs="Times New Roman"/>
          <w:sz w:val="24"/>
          <w:szCs w:val="24"/>
        </w:rPr>
        <w:t>C)(iii)</w:t>
      </w:r>
      <w:r>
        <w:rPr>
          <w:rFonts w:ascii="Times New Roman" w:hAnsi="Times New Roman" w:cs="Times New Roman"/>
          <w:sz w:val="24"/>
          <w:szCs w:val="24"/>
        </w:rPr>
        <w:t>(4)</w:t>
      </w:r>
      <w:r w:rsidRPr="00F97631">
        <w:rPr>
          <w:rFonts w:ascii="Times New Roman" w:hAnsi="Times New Roman" w:cs="Times New Roman"/>
          <w:sz w:val="24"/>
          <w:szCs w:val="24"/>
        </w:rPr>
        <w:t xml:space="preserve"> has been added to address the requirements that c credit union estimate the cost to the credit union , as measured by a NPV test, of any approved modification to verify it is less than the estimated cost of foreclosure or other foreclosure prevention alternative (e.g., short sale, deed in lieu of foreclosure, cash for keys, etc.), unless extenuating circumstances exist, and document the NPV analysis in the loan file.  </w:t>
      </w:r>
      <w:r w:rsidRPr="004426B8">
        <w:rPr>
          <w:rFonts w:ascii="Times New Roman" w:hAnsi="Times New Roman" w:cs="Times New Roman"/>
          <w:color w:val="FF0000"/>
          <w:sz w:val="24"/>
          <w:szCs w:val="24"/>
        </w:rPr>
        <w:t>(Required)</w:t>
      </w:r>
    </w:p>
    <w:p w:rsidR="00D356EE" w:rsidRDefault="00D356EE" w:rsidP="00D356EE">
      <w:pPr>
        <w:spacing w:after="0"/>
        <w:rPr>
          <w:rFonts w:ascii="Times New Roman" w:hAnsi="Times New Roman" w:cs="Times New Roman"/>
          <w:sz w:val="24"/>
          <w:szCs w:val="24"/>
        </w:rPr>
      </w:pPr>
    </w:p>
    <w:p w:rsidR="00D356EE" w:rsidRPr="004426B8" w:rsidRDefault="00D356EE" w:rsidP="00D356EE">
      <w:pPr>
        <w:spacing w:after="0"/>
        <w:rPr>
          <w:rFonts w:ascii="Times New Roman" w:hAnsi="Times New Roman" w:cs="Times New Roman"/>
          <w:b/>
          <w:sz w:val="24"/>
          <w:szCs w:val="24"/>
          <w:u w:val="single"/>
        </w:rPr>
      </w:pPr>
      <w:r w:rsidRPr="004426B8">
        <w:rPr>
          <w:rFonts w:ascii="Times New Roman" w:hAnsi="Times New Roman" w:cs="Times New Roman"/>
          <w:b/>
          <w:sz w:val="24"/>
          <w:szCs w:val="24"/>
          <w:u w:val="single"/>
        </w:rPr>
        <w:t xml:space="preserve">Policy </w:t>
      </w:r>
      <w:r>
        <w:rPr>
          <w:rFonts w:ascii="Times New Roman" w:hAnsi="Times New Roman" w:cs="Times New Roman"/>
          <w:b/>
          <w:sz w:val="24"/>
          <w:szCs w:val="24"/>
          <w:u w:val="single"/>
        </w:rPr>
        <w:t>9300</w:t>
      </w:r>
      <w:r w:rsidRPr="004426B8">
        <w:rPr>
          <w:rFonts w:ascii="Times New Roman" w:hAnsi="Times New Roman" w:cs="Times New Roman"/>
          <w:b/>
          <w:sz w:val="24"/>
          <w:szCs w:val="24"/>
          <w:u w:val="single"/>
        </w:rPr>
        <w:t xml:space="preserve"> – </w:t>
      </w:r>
      <w:r>
        <w:rPr>
          <w:rFonts w:ascii="Times New Roman" w:hAnsi="Times New Roman" w:cs="Times New Roman"/>
          <w:b/>
          <w:sz w:val="24"/>
          <w:szCs w:val="24"/>
          <w:u w:val="single"/>
        </w:rPr>
        <w:t>Bank Bribery Act</w:t>
      </w:r>
    </w:p>
    <w:p w:rsidR="00D356EE" w:rsidRPr="004426B8" w:rsidRDefault="00D356EE" w:rsidP="00D356EE">
      <w:pPr>
        <w:spacing w:after="0"/>
        <w:rPr>
          <w:rFonts w:ascii="Times New Roman" w:hAnsi="Times New Roman" w:cs="Times New Roman"/>
          <w:b/>
          <w:sz w:val="24"/>
          <w:szCs w:val="24"/>
          <w:u w:val="single"/>
        </w:rPr>
      </w:pPr>
      <w:r w:rsidRPr="004426B8">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 xml:space="preserve">The Bank Bribery Act Policy has been revised to meet specific regulatory requirements contained in the </w:t>
      </w:r>
      <w:hyperlink r:id="rId25" w:history="1">
        <w:r w:rsidRPr="004426B8">
          <w:rPr>
            <w:rStyle w:val="Hyperlink"/>
            <w:rFonts w:ascii="Times New Roman" w:hAnsi="Times New Roman" w:cs="Times New Roman"/>
            <w:sz w:val="24"/>
            <w:szCs w:val="24"/>
          </w:rPr>
          <w:t>Bank Bribery Act</w:t>
        </w:r>
      </w:hyperlink>
      <w:r>
        <w:rPr>
          <w:rFonts w:ascii="Times New Roman" w:hAnsi="Times New Roman" w:cs="Times New Roman"/>
          <w:sz w:val="24"/>
          <w:szCs w:val="24"/>
        </w:rPr>
        <w:t xml:space="preserve"> to provide more detailed guidance for credit unions.  This includes new requirements for: prohibitions for soliciting or accepting anything of value; covered individuals; exceptions and disclosure. </w:t>
      </w:r>
      <w:r w:rsidRPr="004426B8">
        <w:rPr>
          <w:rFonts w:ascii="Times New Roman" w:hAnsi="Times New Roman" w:cs="Times New Roman"/>
          <w:color w:val="FF0000"/>
          <w:sz w:val="24"/>
          <w:szCs w:val="24"/>
        </w:rPr>
        <w:t xml:space="preserve"> (Recommended)</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lastRenderedPageBreak/>
        <w:t xml:space="preserve">Policy </w:t>
      </w:r>
      <w:r>
        <w:rPr>
          <w:rFonts w:ascii="Times New Roman" w:hAnsi="Times New Roman" w:cs="Times New Roman"/>
          <w:b/>
          <w:sz w:val="24"/>
          <w:szCs w:val="24"/>
          <w:u w:val="single"/>
        </w:rPr>
        <w:t>10001: Record Retention Table 1</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Corporate Records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7423FE">
        <w:rPr>
          <w:rFonts w:ascii="Times New Roman" w:hAnsi="Times New Roman" w:cs="Times New Roman"/>
          <w:sz w:val="24"/>
          <w:szCs w:val="24"/>
        </w:rPr>
        <w:t>The</w:t>
      </w:r>
      <w:r>
        <w:rPr>
          <w:rFonts w:ascii="Times New Roman" w:hAnsi="Times New Roman" w:cs="Times New Roman"/>
          <w:sz w:val="24"/>
          <w:szCs w:val="24"/>
        </w:rPr>
        <w:t xml:space="preserve"> Corporate Records Retention Policy has been amended to provide more specific reference to 12 CFR 749 for credit union policies, Federal Credit Union Act and special credit union rules and </w:t>
      </w:r>
      <w:proofErr w:type="gramStart"/>
      <w:r>
        <w:rPr>
          <w:rFonts w:ascii="Times New Roman" w:hAnsi="Times New Roman" w:cs="Times New Roman"/>
          <w:sz w:val="24"/>
          <w:szCs w:val="24"/>
        </w:rPr>
        <w:t>regulations .</w:t>
      </w:r>
      <w:proofErr w:type="gramEnd"/>
      <w:r>
        <w:rPr>
          <w:rFonts w:ascii="Times New Roman" w:hAnsi="Times New Roman" w:cs="Times New Roman"/>
          <w:sz w:val="24"/>
          <w:szCs w:val="24"/>
        </w:rPr>
        <w:t xml:space="preserve">  Retention requirements for liquidation are further clarified to retain the records for 5 years after cancelation of charter.  Finally the record retention for government correspondence has been changed to permanent to ensure that government correspondence, that can be varied and come from many different agencies, is retained if need in the future.  This is only a best practices recommendation.  </w:t>
      </w:r>
      <w:r w:rsidRPr="00E73417">
        <w:rPr>
          <w:rFonts w:ascii="Times New Roman" w:hAnsi="Times New Roman" w:cs="Times New Roman"/>
          <w:color w:val="FF0000"/>
          <w:sz w:val="24"/>
          <w:szCs w:val="24"/>
        </w:rPr>
        <w:t>(Recommended)</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Policy 1000</w:t>
      </w:r>
      <w:r>
        <w:rPr>
          <w:rFonts w:ascii="Times New Roman" w:hAnsi="Times New Roman" w:cs="Times New Roman"/>
          <w:b/>
          <w:sz w:val="24"/>
          <w:szCs w:val="24"/>
          <w:u w:val="single"/>
        </w:rPr>
        <w:t>4</w:t>
      </w:r>
      <w:r w:rsidRPr="007423FE">
        <w:rPr>
          <w:rFonts w:ascii="Times New Roman" w:hAnsi="Times New Roman" w:cs="Times New Roman"/>
          <w:b/>
          <w:sz w:val="24"/>
          <w:szCs w:val="24"/>
          <w:u w:val="single"/>
        </w:rPr>
        <w:t xml:space="preserve">: Record Retention Table </w:t>
      </w:r>
      <w:r>
        <w:rPr>
          <w:rFonts w:ascii="Times New Roman" w:hAnsi="Times New Roman" w:cs="Times New Roman"/>
          <w:b/>
          <w:sz w:val="24"/>
          <w:szCs w:val="24"/>
          <w:u w:val="single"/>
        </w:rPr>
        <w:t>4</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Electronic Funds Transfer Records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T</w:t>
      </w:r>
      <w:r w:rsidRPr="00A86DE3">
        <w:rPr>
          <w:rFonts w:ascii="Times New Roman" w:hAnsi="Times New Roman" w:cs="Times New Roman"/>
          <w:sz w:val="24"/>
          <w:szCs w:val="24"/>
        </w:rPr>
        <w:t>echnical correction</w:t>
      </w:r>
      <w:r>
        <w:rPr>
          <w:rFonts w:ascii="Times New Roman" w:hAnsi="Times New Roman" w:cs="Times New Roman"/>
          <w:sz w:val="24"/>
          <w:szCs w:val="24"/>
        </w:rPr>
        <w:t>s</w:t>
      </w:r>
      <w:r w:rsidRPr="00A86DE3">
        <w:rPr>
          <w:rFonts w:ascii="Times New Roman" w:hAnsi="Times New Roman" w:cs="Times New Roman"/>
          <w:sz w:val="24"/>
          <w:szCs w:val="24"/>
        </w:rPr>
        <w:t xml:space="preserve"> ha</w:t>
      </w:r>
      <w:r>
        <w:rPr>
          <w:rFonts w:ascii="Times New Roman" w:hAnsi="Times New Roman" w:cs="Times New Roman"/>
          <w:sz w:val="24"/>
          <w:szCs w:val="24"/>
        </w:rPr>
        <w:t xml:space="preserve">ve been made to the references to </w:t>
      </w:r>
      <w:hyperlink r:id="rId26" w:history="1">
        <w:r w:rsidRPr="00B762DD">
          <w:rPr>
            <w:rStyle w:val="Hyperlink"/>
            <w:rFonts w:ascii="Times New Roman" w:hAnsi="Times New Roman" w:cs="Times New Roman"/>
            <w:sz w:val="24"/>
            <w:szCs w:val="24"/>
          </w:rPr>
          <w:t>Regulation E</w:t>
        </w:r>
      </w:hyperlink>
      <w:r>
        <w:rPr>
          <w:rFonts w:ascii="Times New Roman" w:hAnsi="Times New Roman" w:cs="Times New Roman"/>
          <w:sz w:val="24"/>
          <w:szCs w:val="24"/>
        </w:rPr>
        <w:t xml:space="preserve"> to 1005 rather than 205 due to transfer of the regulation to the CFPB</w:t>
      </w:r>
      <w:r w:rsidRPr="00A86DE3">
        <w:rPr>
          <w:rFonts w:ascii="Times New Roman" w:hAnsi="Times New Roman" w:cs="Times New Roman"/>
          <w:sz w:val="24"/>
          <w:szCs w:val="24"/>
        </w:rPr>
        <w:t>.</w:t>
      </w:r>
      <w:r>
        <w:rPr>
          <w:rFonts w:ascii="Times New Roman" w:hAnsi="Times New Roman" w:cs="Times New Roman"/>
          <w:sz w:val="24"/>
          <w:szCs w:val="24"/>
        </w:rPr>
        <w:t xml:space="preserve">  Additionally the ACH rules have been referenced as the authority for ACH documents.  </w:t>
      </w:r>
      <w:r w:rsidRPr="00B762DD">
        <w:rPr>
          <w:rFonts w:ascii="Times New Roman" w:hAnsi="Times New Roman" w:cs="Times New Roman"/>
          <w:color w:val="FF0000"/>
          <w:sz w:val="24"/>
          <w:szCs w:val="24"/>
        </w:rPr>
        <w:t xml:space="preserve">(Recommended)  </w:t>
      </w:r>
    </w:p>
    <w:p w:rsidR="00D356EE" w:rsidRDefault="00D356EE" w:rsidP="00D356EE">
      <w:pPr>
        <w:spacing w:after="0"/>
        <w:rPr>
          <w:rFonts w:ascii="Times New Roman" w:hAnsi="Times New Roman" w:cs="Times New Roman"/>
          <w:sz w:val="24"/>
          <w:szCs w:val="24"/>
        </w:rPr>
      </w:pPr>
      <w:r w:rsidRPr="00A86DE3">
        <w:rPr>
          <w:rFonts w:ascii="Times New Roman" w:hAnsi="Times New Roman" w:cs="Times New Roman"/>
          <w:sz w:val="24"/>
          <w:szCs w:val="24"/>
        </w:rPr>
        <w:t xml:space="preserve">  </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Policy 1000</w:t>
      </w:r>
      <w:r>
        <w:rPr>
          <w:rFonts w:ascii="Times New Roman" w:hAnsi="Times New Roman" w:cs="Times New Roman"/>
          <w:b/>
          <w:sz w:val="24"/>
          <w:szCs w:val="24"/>
          <w:u w:val="single"/>
        </w:rPr>
        <w:t>5</w:t>
      </w:r>
      <w:r w:rsidRPr="007423FE">
        <w:rPr>
          <w:rFonts w:ascii="Times New Roman" w:hAnsi="Times New Roman" w:cs="Times New Roman"/>
          <w:b/>
          <w:sz w:val="24"/>
          <w:szCs w:val="24"/>
          <w:u w:val="single"/>
        </w:rPr>
        <w:t xml:space="preserve">: Record Retention Table </w:t>
      </w:r>
      <w:r>
        <w:rPr>
          <w:rFonts w:ascii="Times New Roman" w:hAnsi="Times New Roman" w:cs="Times New Roman"/>
          <w:b/>
          <w:sz w:val="24"/>
          <w:szCs w:val="24"/>
          <w:u w:val="single"/>
        </w:rPr>
        <w:t>5</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General Accounting Records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Pr="007423F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 xml:space="preserve">Record retention requirements for earning records have been clarified to reference 29 CFR 516, rather than the more narrow clarification of 516.1 that was too restrictive for all earning records. </w:t>
      </w:r>
      <w:proofErr w:type="gramStart"/>
      <w:r w:rsidRPr="0092258A">
        <w:rPr>
          <w:rFonts w:ascii="Times New Roman" w:hAnsi="Times New Roman" w:cs="Times New Roman"/>
          <w:color w:val="FF0000"/>
          <w:sz w:val="24"/>
          <w:szCs w:val="24"/>
        </w:rPr>
        <w:t>(Clarification)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Policy 1000</w:t>
      </w:r>
      <w:r>
        <w:rPr>
          <w:rFonts w:ascii="Times New Roman" w:hAnsi="Times New Roman" w:cs="Times New Roman"/>
          <w:b/>
          <w:sz w:val="24"/>
          <w:szCs w:val="24"/>
          <w:u w:val="single"/>
        </w:rPr>
        <w:t>7</w:t>
      </w:r>
      <w:r w:rsidRPr="007423FE">
        <w:rPr>
          <w:rFonts w:ascii="Times New Roman" w:hAnsi="Times New Roman" w:cs="Times New Roman"/>
          <w:b/>
          <w:sz w:val="24"/>
          <w:szCs w:val="24"/>
          <w:u w:val="single"/>
        </w:rPr>
        <w:t xml:space="preserve">: Record Retention Table </w:t>
      </w:r>
      <w:r>
        <w:rPr>
          <w:rFonts w:ascii="Times New Roman" w:hAnsi="Times New Roman" w:cs="Times New Roman"/>
          <w:b/>
          <w:sz w:val="24"/>
          <w:szCs w:val="24"/>
          <w:u w:val="single"/>
        </w:rPr>
        <w:t>7</w:t>
      </w:r>
      <w:r w:rsidRPr="007423FE">
        <w:rPr>
          <w:rFonts w:ascii="Times New Roman" w:hAnsi="Times New Roman" w:cs="Times New Roman"/>
          <w:b/>
          <w:sz w:val="24"/>
          <w:szCs w:val="24"/>
          <w:u w:val="single"/>
        </w:rPr>
        <w:t xml:space="preserve"> – </w:t>
      </w:r>
      <w:r>
        <w:rPr>
          <w:rFonts w:ascii="Times New Roman" w:hAnsi="Times New Roman" w:cs="Times New Roman"/>
          <w:b/>
          <w:sz w:val="24"/>
          <w:szCs w:val="24"/>
          <w:u w:val="single"/>
        </w:rPr>
        <w:t>Lending</w:t>
      </w:r>
      <w:r w:rsidRPr="007423FE">
        <w:rPr>
          <w:rFonts w:ascii="Times New Roman" w:hAnsi="Times New Roman" w:cs="Times New Roman"/>
          <w:b/>
          <w:sz w:val="24"/>
          <w:szCs w:val="24"/>
          <w:u w:val="single"/>
        </w:rPr>
        <w:t xml:space="preserve"> Records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sidRPr="00F14E26">
        <w:rPr>
          <w:rFonts w:ascii="Times New Roman" w:hAnsi="Times New Roman" w:cs="Times New Roman"/>
          <w:sz w:val="24"/>
          <w:szCs w:val="24"/>
        </w:rPr>
        <w:t xml:space="preserve">Technical corrections have been made to the references to </w:t>
      </w:r>
      <w:hyperlink r:id="rId27" w:history="1">
        <w:r w:rsidRPr="00F14E26">
          <w:rPr>
            <w:rStyle w:val="Hyperlink"/>
            <w:rFonts w:ascii="Times New Roman" w:hAnsi="Times New Roman" w:cs="Times New Roman"/>
            <w:sz w:val="24"/>
            <w:szCs w:val="24"/>
          </w:rPr>
          <w:t>Regulation M</w:t>
        </w:r>
      </w:hyperlink>
      <w:r>
        <w:rPr>
          <w:rFonts w:ascii="Times New Roman" w:hAnsi="Times New Roman" w:cs="Times New Roman"/>
          <w:sz w:val="24"/>
          <w:szCs w:val="24"/>
        </w:rPr>
        <w:t xml:space="preserve"> and </w:t>
      </w:r>
      <w:hyperlink r:id="rId28" w:history="1">
        <w:r w:rsidRPr="00F14E26">
          <w:rPr>
            <w:rStyle w:val="Hyperlink"/>
            <w:rFonts w:ascii="Times New Roman" w:hAnsi="Times New Roman" w:cs="Times New Roman"/>
            <w:sz w:val="24"/>
            <w:szCs w:val="24"/>
          </w:rPr>
          <w:t>Regulation B</w:t>
        </w:r>
      </w:hyperlink>
      <w:r>
        <w:rPr>
          <w:rFonts w:ascii="Times New Roman" w:hAnsi="Times New Roman" w:cs="Times New Roman"/>
          <w:sz w:val="24"/>
          <w:szCs w:val="24"/>
        </w:rPr>
        <w:t xml:space="preserve"> </w:t>
      </w:r>
      <w:r w:rsidRPr="00F14E26">
        <w:rPr>
          <w:rFonts w:ascii="Times New Roman" w:hAnsi="Times New Roman" w:cs="Times New Roman"/>
          <w:sz w:val="24"/>
          <w:szCs w:val="24"/>
        </w:rPr>
        <w:t>to 10</w:t>
      </w:r>
      <w:r>
        <w:rPr>
          <w:rFonts w:ascii="Times New Roman" w:hAnsi="Times New Roman" w:cs="Times New Roman"/>
          <w:sz w:val="24"/>
          <w:szCs w:val="24"/>
        </w:rPr>
        <w:t xml:space="preserve">13 and 1002 respectively based on the </w:t>
      </w:r>
      <w:r w:rsidRPr="00F14E26">
        <w:rPr>
          <w:rFonts w:ascii="Times New Roman" w:hAnsi="Times New Roman" w:cs="Times New Roman"/>
          <w:sz w:val="24"/>
          <w:szCs w:val="24"/>
        </w:rPr>
        <w:t xml:space="preserve">transfer of the regulation to the CFPB.  </w:t>
      </w:r>
      <w:r w:rsidRPr="00F14E26">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Policy 1000</w:t>
      </w:r>
      <w:r>
        <w:rPr>
          <w:rFonts w:ascii="Times New Roman" w:hAnsi="Times New Roman" w:cs="Times New Roman"/>
          <w:b/>
          <w:sz w:val="24"/>
          <w:szCs w:val="24"/>
          <w:u w:val="single"/>
        </w:rPr>
        <w:t>8</w:t>
      </w:r>
      <w:r w:rsidRPr="007423FE">
        <w:rPr>
          <w:rFonts w:ascii="Times New Roman" w:hAnsi="Times New Roman" w:cs="Times New Roman"/>
          <w:b/>
          <w:sz w:val="24"/>
          <w:szCs w:val="24"/>
          <w:u w:val="single"/>
        </w:rPr>
        <w:t xml:space="preserve">: Record Retention Table </w:t>
      </w:r>
      <w:r>
        <w:rPr>
          <w:rFonts w:ascii="Times New Roman" w:hAnsi="Times New Roman" w:cs="Times New Roman"/>
          <w:b/>
          <w:sz w:val="24"/>
          <w:szCs w:val="24"/>
          <w:u w:val="single"/>
        </w:rPr>
        <w:t>8</w:t>
      </w:r>
      <w:r w:rsidRPr="007423FE">
        <w:rPr>
          <w:rFonts w:ascii="Times New Roman" w:hAnsi="Times New Roman" w:cs="Times New Roman"/>
          <w:b/>
          <w:sz w:val="24"/>
          <w:szCs w:val="24"/>
          <w:u w:val="single"/>
        </w:rPr>
        <w:t xml:space="preserve"> –</w:t>
      </w:r>
      <w:r>
        <w:rPr>
          <w:rFonts w:ascii="Times New Roman" w:hAnsi="Times New Roman" w:cs="Times New Roman"/>
          <w:b/>
          <w:sz w:val="24"/>
          <w:szCs w:val="24"/>
          <w:u w:val="single"/>
        </w:rPr>
        <w:t>Negotiable Instruments</w:t>
      </w:r>
      <w:r w:rsidRPr="007423FE">
        <w:rPr>
          <w:rFonts w:ascii="Times New Roman" w:hAnsi="Times New Roman" w:cs="Times New Roman"/>
          <w:b/>
          <w:sz w:val="24"/>
          <w:szCs w:val="24"/>
          <w:u w:val="single"/>
        </w:rPr>
        <w:t xml:space="preserve"> Records</w:t>
      </w:r>
    </w:p>
    <w:p w:rsidR="00D356EE" w:rsidRPr="007423FE" w:rsidRDefault="00D356EE" w:rsidP="00D356EE">
      <w:pPr>
        <w:spacing w:after="0"/>
        <w:rPr>
          <w:rFonts w:ascii="Times New Roman" w:hAnsi="Times New Roman" w:cs="Times New Roman"/>
          <w:b/>
          <w:sz w:val="24"/>
          <w:szCs w:val="24"/>
          <w:u w:val="single"/>
        </w:rPr>
      </w:pPr>
      <w:r w:rsidRPr="007423FE">
        <w:rPr>
          <w:rFonts w:ascii="Times New Roman" w:hAnsi="Times New Roman" w:cs="Times New Roman"/>
          <w:b/>
          <w:sz w:val="24"/>
          <w:szCs w:val="24"/>
          <w:u w:val="single"/>
        </w:rPr>
        <w:t>2013-3</w:t>
      </w:r>
    </w:p>
    <w:p w:rsidR="00D356EE" w:rsidRDefault="00D356EE" w:rsidP="00D356EE">
      <w:pPr>
        <w:spacing w:after="0"/>
        <w:rPr>
          <w:rFonts w:ascii="Times New Roman" w:hAnsi="Times New Roman" w:cs="Times New Roman"/>
          <w:sz w:val="24"/>
          <w:szCs w:val="24"/>
        </w:rPr>
      </w:pPr>
      <w:r>
        <w:rPr>
          <w:rFonts w:ascii="Times New Roman" w:hAnsi="Times New Roman" w:cs="Times New Roman"/>
          <w:sz w:val="24"/>
          <w:szCs w:val="24"/>
        </w:rPr>
        <w:t xml:space="preserve">A correction has been made to the reference for 31 CFR 103.  </w:t>
      </w:r>
      <w:r w:rsidRPr="00F64FD6">
        <w:rPr>
          <w:rFonts w:ascii="Times New Roman" w:hAnsi="Times New Roman" w:cs="Times New Roman"/>
          <w:color w:val="FF0000"/>
          <w:sz w:val="24"/>
          <w:szCs w:val="24"/>
        </w:rPr>
        <w:t>(Correction)</w:t>
      </w:r>
    </w:p>
    <w:p w:rsidR="00D356EE" w:rsidRDefault="00D356EE" w:rsidP="00D356EE">
      <w:pPr>
        <w:spacing w:after="0"/>
        <w:rPr>
          <w:rFonts w:ascii="Times New Roman" w:hAnsi="Times New Roman" w:cs="Times New Roman"/>
          <w:sz w:val="24"/>
          <w:szCs w:val="24"/>
        </w:rPr>
      </w:pPr>
    </w:p>
    <w:p w:rsidR="00D356EE" w:rsidRDefault="00D356EE" w:rsidP="00D356EE">
      <w:pPr>
        <w:spacing w:after="0"/>
        <w:rPr>
          <w:rFonts w:ascii="Times New Roman" w:hAnsi="Times New Roman" w:cs="Times New Roman"/>
          <w:b/>
          <w:sz w:val="24"/>
          <w:szCs w:val="24"/>
          <w:u w:val="single"/>
        </w:rPr>
      </w:pPr>
    </w:p>
    <w:p w:rsidR="00D356EE" w:rsidRDefault="00D356EE" w:rsidP="00D356EE">
      <w:pPr>
        <w:spacing w:after="0"/>
        <w:rPr>
          <w:rFonts w:ascii="Times New Roman" w:hAnsi="Times New Roman" w:cs="Times New Roman"/>
          <w:b/>
          <w:sz w:val="24"/>
          <w:szCs w:val="24"/>
          <w:u w:val="single"/>
        </w:rPr>
      </w:pPr>
    </w:p>
    <w:p w:rsidR="00D356EE" w:rsidRPr="00C41867" w:rsidRDefault="00D356EE" w:rsidP="00D356EE">
      <w:pPr>
        <w:spacing w:after="0"/>
        <w:rPr>
          <w:rFonts w:ascii="Times New Roman" w:hAnsi="Times New Roman" w:cs="Times New Roman"/>
          <w:b/>
          <w:sz w:val="24"/>
          <w:szCs w:val="24"/>
          <w:u w:val="single"/>
        </w:rPr>
      </w:pPr>
      <w:r w:rsidRPr="00C41867">
        <w:rPr>
          <w:rFonts w:ascii="Times New Roman" w:hAnsi="Times New Roman" w:cs="Times New Roman"/>
          <w:b/>
          <w:sz w:val="24"/>
          <w:szCs w:val="24"/>
          <w:u w:val="single"/>
        </w:rPr>
        <w:t>Policy 1000</w:t>
      </w:r>
      <w:r>
        <w:rPr>
          <w:rFonts w:ascii="Times New Roman" w:hAnsi="Times New Roman" w:cs="Times New Roman"/>
          <w:b/>
          <w:sz w:val="24"/>
          <w:szCs w:val="24"/>
          <w:u w:val="single"/>
        </w:rPr>
        <w:t>9</w:t>
      </w:r>
      <w:r w:rsidRPr="00C41867">
        <w:rPr>
          <w:rFonts w:ascii="Times New Roman" w:hAnsi="Times New Roman" w:cs="Times New Roman"/>
          <w:b/>
          <w:sz w:val="24"/>
          <w:szCs w:val="24"/>
          <w:u w:val="single"/>
        </w:rPr>
        <w:t xml:space="preserve">: Record Retention Table </w:t>
      </w:r>
      <w:r>
        <w:rPr>
          <w:rFonts w:ascii="Times New Roman" w:hAnsi="Times New Roman" w:cs="Times New Roman"/>
          <w:b/>
          <w:sz w:val="24"/>
          <w:szCs w:val="24"/>
          <w:u w:val="single"/>
        </w:rPr>
        <w:t>9</w:t>
      </w:r>
      <w:r w:rsidRPr="00C41867">
        <w:rPr>
          <w:rFonts w:ascii="Times New Roman" w:hAnsi="Times New Roman" w:cs="Times New Roman"/>
          <w:b/>
          <w:sz w:val="24"/>
          <w:szCs w:val="24"/>
          <w:u w:val="single"/>
        </w:rPr>
        <w:t xml:space="preserve"> – </w:t>
      </w:r>
      <w:r>
        <w:rPr>
          <w:rFonts w:ascii="Times New Roman" w:hAnsi="Times New Roman" w:cs="Times New Roman"/>
          <w:b/>
          <w:sz w:val="24"/>
          <w:szCs w:val="24"/>
          <w:u w:val="single"/>
        </w:rPr>
        <w:t>Personnel and Employment Records</w:t>
      </w:r>
    </w:p>
    <w:p w:rsidR="00D356EE" w:rsidRPr="00C41867" w:rsidRDefault="00D356EE" w:rsidP="00D356EE">
      <w:pPr>
        <w:spacing w:after="0"/>
        <w:rPr>
          <w:rFonts w:ascii="Times New Roman" w:hAnsi="Times New Roman" w:cs="Times New Roman"/>
          <w:b/>
          <w:sz w:val="24"/>
          <w:szCs w:val="24"/>
          <w:u w:val="single"/>
        </w:rPr>
      </w:pPr>
      <w:r w:rsidRPr="00C41867">
        <w:rPr>
          <w:rFonts w:ascii="Times New Roman" w:hAnsi="Times New Roman" w:cs="Times New Roman"/>
          <w:b/>
          <w:sz w:val="24"/>
          <w:szCs w:val="24"/>
          <w:u w:val="single"/>
        </w:rPr>
        <w:t>2013-3</w:t>
      </w:r>
    </w:p>
    <w:p w:rsidR="00D356EE" w:rsidRPr="00954263" w:rsidRDefault="00D356EE" w:rsidP="00D356EE">
      <w:pPr>
        <w:spacing w:after="0"/>
        <w:rPr>
          <w:rFonts w:ascii="Times New Roman" w:hAnsi="Times New Roman" w:cs="Times New Roman"/>
          <w:sz w:val="24"/>
          <w:szCs w:val="24"/>
        </w:rPr>
      </w:pPr>
      <w:r w:rsidRPr="00954263">
        <w:rPr>
          <w:rFonts w:ascii="Times New Roman" w:hAnsi="Times New Roman" w:cs="Times New Roman"/>
          <w:sz w:val="24"/>
          <w:szCs w:val="24"/>
        </w:rPr>
        <w:t>Record retention requirements for e</w:t>
      </w:r>
      <w:r>
        <w:rPr>
          <w:rFonts w:ascii="Times New Roman" w:hAnsi="Times New Roman" w:cs="Times New Roman"/>
          <w:sz w:val="24"/>
          <w:szCs w:val="24"/>
        </w:rPr>
        <w:t xml:space="preserve">mployment </w:t>
      </w:r>
      <w:r w:rsidRPr="00954263">
        <w:rPr>
          <w:rFonts w:ascii="Times New Roman" w:hAnsi="Times New Roman" w:cs="Times New Roman"/>
          <w:sz w:val="24"/>
          <w:szCs w:val="24"/>
        </w:rPr>
        <w:t xml:space="preserve">records have been clarified to reference 29 CFR 516, rather than the more narrow clarification of 516.1 that was too restrictive for all earning records. </w:t>
      </w:r>
      <w:r w:rsidRPr="00954263">
        <w:rPr>
          <w:rFonts w:ascii="Times New Roman" w:hAnsi="Times New Roman" w:cs="Times New Roman"/>
          <w:color w:val="FF0000"/>
          <w:sz w:val="24"/>
          <w:szCs w:val="24"/>
        </w:rPr>
        <w:t>(Clarification)</w:t>
      </w:r>
    </w:p>
    <w:p w:rsidR="00D356EE" w:rsidRDefault="00D356EE" w:rsidP="00D356EE">
      <w:pPr>
        <w:spacing w:after="0"/>
        <w:rPr>
          <w:rFonts w:ascii="Times New Roman" w:hAnsi="Times New Roman" w:cs="Times New Roman"/>
          <w:sz w:val="24"/>
          <w:szCs w:val="24"/>
        </w:rPr>
      </w:pPr>
    </w:p>
    <w:p w:rsidR="00D356EE" w:rsidRDefault="00D3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56EE" w:rsidRPr="00C41867" w:rsidRDefault="00D356EE" w:rsidP="00D356EE">
      <w:pPr>
        <w:spacing w:after="0"/>
        <w:rPr>
          <w:rFonts w:ascii="Times New Roman" w:hAnsi="Times New Roman" w:cs="Times New Roman"/>
          <w:b/>
          <w:sz w:val="24"/>
          <w:szCs w:val="24"/>
          <w:u w:val="single"/>
        </w:rPr>
      </w:pPr>
      <w:bookmarkStart w:id="0" w:name="_GoBack"/>
      <w:bookmarkEnd w:id="0"/>
      <w:r w:rsidRPr="00C41867">
        <w:rPr>
          <w:rFonts w:ascii="Times New Roman" w:hAnsi="Times New Roman" w:cs="Times New Roman"/>
          <w:b/>
          <w:sz w:val="24"/>
          <w:szCs w:val="24"/>
          <w:u w:val="single"/>
        </w:rPr>
        <w:lastRenderedPageBreak/>
        <w:t>Policy 100</w:t>
      </w:r>
      <w:r>
        <w:rPr>
          <w:rFonts w:ascii="Times New Roman" w:hAnsi="Times New Roman" w:cs="Times New Roman"/>
          <w:b/>
          <w:sz w:val="24"/>
          <w:szCs w:val="24"/>
          <w:u w:val="single"/>
        </w:rPr>
        <w:t>1</w:t>
      </w:r>
      <w:r w:rsidRPr="00C41867">
        <w:rPr>
          <w:rFonts w:ascii="Times New Roman" w:hAnsi="Times New Roman" w:cs="Times New Roman"/>
          <w:b/>
          <w:sz w:val="24"/>
          <w:szCs w:val="24"/>
          <w:u w:val="single"/>
        </w:rPr>
        <w:t xml:space="preserve">1: Record Retention Table </w:t>
      </w:r>
      <w:r>
        <w:rPr>
          <w:rFonts w:ascii="Times New Roman" w:hAnsi="Times New Roman" w:cs="Times New Roman"/>
          <w:b/>
          <w:sz w:val="24"/>
          <w:szCs w:val="24"/>
          <w:u w:val="single"/>
        </w:rPr>
        <w:t>1</w:t>
      </w:r>
      <w:r w:rsidRPr="00C41867">
        <w:rPr>
          <w:rFonts w:ascii="Times New Roman" w:hAnsi="Times New Roman" w:cs="Times New Roman"/>
          <w:b/>
          <w:sz w:val="24"/>
          <w:szCs w:val="24"/>
          <w:u w:val="single"/>
        </w:rPr>
        <w:t xml:space="preserve">1 – </w:t>
      </w:r>
      <w:r>
        <w:rPr>
          <w:rFonts w:ascii="Times New Roman" w:hAnsi="Times New Roman" w:cs="Times New Roman"/>
          <w:b/>
          <w:sz w:val="24"/>
          <w:szCs w:val="24"/>
          <w:u w:val="single"/>
        </w:rPr>
        <w:t>Member Account</w:t>
      </w:r>
      <w:r w:rsidRPr="00C41867">
        <w:rPr>
          <w:rFonts w:ascii="Times New Roman" w:hAnsi="Times New Roman" w:cs="Times New Roman"/>
          <w:b/>
          <w:sz w:val="24"/>
          <w:szCs w:val="24"/>
          <w:u w:val="single"/>
        </w:rPr>
        <w:t xml:space="preserve"> Records</w:t>
      </w:r>
    </w:p>
    <w:p w:rsidR="00D356EE" w:rsidRPr="00C41867" w:rsidRDefault="00D356EE" w:rsidP="00D356EE">
      <w:pPr>
        <w:spacing w:after="0"/>
        <w:rPr>
          <w:rFonts w:ascii="Times New Roman" w:hAnsi="Times New Roman" w:cs="Times New Roman"/>
          <w:b/>
          <w:sz w:val="24"/>
          <w:szCs w:val="24"/>
          <w:u w:val="single"/>
        </w:rPr>
      </w:pPr>
      <w:r w:rsidRPr="00C41867">
        <w:rPr>
          <w:rFonts w:ascii="Times New Roman" w:hAnsi="Times New Roman" w:cs="Times New Roman"/>
          <w:b/>
          <w:sz w:val="24"/>
          <w:szCs w:val="24"/>
          <w:u w:val="single"/>
        </w:rPr>
        <w:t>2013-3</w:t>
      </w:r>
    </w:p>
    <w:p w:rsidR="00D356EE" w:rsidRPr="0026783F" w:rsidRDefault="00D356EE" w:rsidP="00D356EE">
      <w:pPr>
        <w:spacing w:after="0"/>
        <w:rPr>
          <w:rFonts w:ascii="Times New Roman" w:hAnsi="Times New Roman" w:cs="Times New Roman"/>
          <w:sz w:val="24"/>
          <w:szCs w:val="24"/>
        </w:rPr>
      </w:pPr>
      <w:r w:rsidRPr="0026783F">
        <w:rPr>
          <w:rFonts w:ascii="Times New Roman" w:hAnsi="Times New Roman" w:cs="Times New Roman"/>
          <w:sz w:val="24"/>
          <w:szCs w:val="24"/>
        </w:rPr>
        <w:t xml:space="preserve">Technical corrections have been made to the </w:t>
      </w:r>
      <w:r>
        <w:rPr>
          <w:rFonts w:ascii="Times New Roman" w:hAnsi="Times New Roman" w:cs="Times New Roman"/>
          <w:sz w:val="24"/>
          <w:szCs w:val="24"/>
        </w:rPr>
        <w:t xml:space="preserve">retention authority for expedited funds availability and notice of CU invocation of statutory exceptions to include 12 CFR 229.21. </w:t>
      </w:r>
      <w:r w:rsidRPr="0026783F">
        <w:rPr>
          <w:rFonts w:ascii="Times New Roman" w:hAnsi="Times New Roman" w:cs="Times New Roman"/>
          <w:color w:val="FF0000"/>
          <w:sz w:val="24"/>
          <w:szCs w:val="24"/>
        </w:rPr>
        <w:t xml:space="preserve"> (Clarification)</w:t>
      </w:r>
    </w:p>
    <w:p w:rsidR="00D356EE" w:rsidRPr="00543305" w:rsidRDefault="00D356EE" w:rsidP="00D356EE">
      <w:pPr>
        <w:spacing w:after="0"/>
        <w:rPr>
          <w:rFonts w:ascii="Times New Roman" w:hAnsi="Times New Roman" w:cs="Times New Roman"/>
          <w:sz w:val="24"/>
          <w:szCs w:val="24"/>
        </w:rPr>
      </w:pPr>
    </w:p>
    <w:p w:rsidR="00B659C4" w:rsidRPr="00B659C4" w:rsidRDefault="00B659C4" w:rsidP="00C57F9B">
      <w:pPr>
        <w:spacing w:after="0" w:line="240" w:lineRule="auto"/>
        <w:rPr>
          <w:rFonts w:ascii="Times New Roman" w:hAnsi="Times New Roman" w:cs="Times New Roman"/>
          <w:sz w:val="24"/>
          <w:szCs w:val="24"/>
        </w:rPr>
      </w:pPr>
    </w:p>
    <w:sectPr w:rsidR="00B659C4" w:rsidRPr="00B6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D8"/>
    <w:rsid w:val="00001267"/>
    <w:rsid w:val="000200F1"/>
    <w:rsid w:val="00056718"/>
    <w:rsid w:val="00080D3A"/>
    <w:rsid w:val="000A27D8"/>
    <w:rsid w:val="000A751A"/>
    <w:rsid w:val="00102A64"/>
    <w:rsid w:val="00165DDE"/>
    <w:rsid w:val="001C50D8"/>
    <w:rsid w:val="00216198"/>
    <w:rsid w:val="00363693"/>
    <w:rsid w:val="003C7772"/>
    <w:rsid w:val="00434F4C"/>
    <w:rsid w:val="00491607"/>
    <w:rsid w:val="00540943"/>
    <w:rsid w:val="005931AD"/>
    <w:rsid w:val="005A3712"/>
    <w:rsid w:val="005D3449"/>
    <w:rsid w:val="00626499"/>
    <w:rsid w:val="006A33EC"/>
    <w:rsid w:val="006B3AF6"/>
    <w:rsid w:val="007015C0"/>
    <w:rsid w:val="00701F78"/>
    <w:rsid w:val="007075F0"/>
    <w:rsid w:val="00861803"/>
    <w:rsid w:val="00872BBC"/>
    <w:rsid w:val="008B5AFF"/>
    <w:rsid w:val="008E7344"/>
    <w:rsid w:val="00963321"/>
    <w:rsid w:val="009930F1"/>
    <w:rsid w:val="009D31D5"/>
    <w:rsid w:val="009F38A1"/>
    <w:rsid w:val="00A27340"/>
    <w:rsid w:val="00A719B9"/>
    <w:rsid w:val="00B04FC4"/>
    <w:rsid w:val="00B513B6"/>
    <w:rsid w:val="00B659C4"/>
    <w:rsid w:val="00BA26B2"/>
    <w:rsid w:val="00BB140A"/>
    <w:rsid w:val="00BD1B72"/>
    <w:rsid w:val="00C02A7B"/>
    <w:rsid w:val="00C21218"/>
    <w:rsid w:val="00C57F9B"/>
    <w:rsid w:val="00D356EE"/>
    <w:rsid w:val="00D94E6D"/>
    <w:rsid w:val="00EA23BF"/>
    <w:rsid w:val="00EB5634"/>
    <w:rsid w:val="00F031B4"/>
    <w:rsid w:val="00F609AE"/>
    <w:rsid w:val="00F9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0/12/28/2010-32115/fiduciary-duties-at-federal-credit-unions-mergers-and-conversions-of-insured-credit-unions" TargetMode="External"/><Relationship Id="rId13" Type="http://schemas.openxmlformats.org/officeDocument/2006/relationships/hyperlink" Target="http://www.consumerfinance.gov/remittances-transfer-rule-amendment-to-regulation-e/" TargetMode="External"/><Relationship Id="rId18" Type="http://schemas.openxmlformats.org/officeDocument/2006/relationships/hyperlink" Target="http://www.ecfr.gov/cgi-bin/text-idx?c=ecfr&amp;tpl=/ecfrbrowse/Title12/12cfr1026_main_02.tpl" TargetMode="External"/><Relationship Id="rId26" Type="http://schemas.openxmlformats.org/officeDocument/2006/relationships/hyperlink" Target="http://www.ecfr.gov/cgi-bin/text-idx?c=ecfr&amp;tpl=/ecfrbrowse/Title12/12cfr1005_main_02.tpl" TargetMode="External"/><Relationship Id="rId3" Type="http://schemas.openxmlformats.org/officeDocument/2006/relationships/settings" Target="settings.xml"/><Relationship Id="rId21" Type="http://schemas.openxmlformats.org/officeDocument/2006/relationships/hyperlink" Target="http://www.ecfr.gov/cgi-bin/text-idx?c=ecfr&amp;SID=4999a47429a7654bed5cc9532b0aa93f&amp;rgn=div5&amp;view=text&amp;node=12:7.0.2.3.32&amp;idno=12" TargetMode="External"/><Relationship Id="rId7" Type="http://schemas.openxmlformats.org/officeDocument/2006/relationships/hyperlink" Target="https://www.federalregister.gov/articles/2010/12/28/2010-32115/fiduciary-duties-at-federal-credit-unions-mergers-and-conversions-of-insured-credit-unions" TargetMode="External"/><Relationship Id="rId12" Type="http://schemas.openxmlformats.org/officeDocument/2006/relationships/hyperlink" Target="http://www.consumerfinance.gov/remittances-transfer-rule-amendment-to-regulation-e/" TargetMode="External"/><Relationship Id="rId17" Type="http://schemas.openxmlformats.org/officeDocument/2006/relationships/hyperlink" Target="http://www.ecfr.gov/cgi-bin/text-idx?c=ecfr&amp;tpl=/ecfrbrowse/Title12/12cfr1026_main_02.tpl" TargetMode="External"/><Relationship Id="rId25" Type="http://schemas.openxmlformats.org/officeDocument/2006/relationships/hyperlink" Target="http://www.law.cornell.edu/uscode/text/18/215" TargetMode="External"/><Relationship Id="rId2" Type="http://schemas.microsoft.com/office/2007/relationships/stylesWithEffects" Target="stylesWithEffects.xml"/><Relationship Id="rId16" Type="http://schemas.openxmlformats.org/officeDocument/2006/relationships/hyperlink" Target="http://www.ecfr.gov/cgi-bin/text-idx?c=ecfr&amp;tpl=/ecfrbrowse/Title12/12cfr1003_main_02.tpl" TargetMode="External"/><Relationship Id="rId20" Type="http://schemas.openxmlformats.org/officeDocument/2006/relationships/hyperlink" Target="http://www.ncua.gov/Legal/Documents/Regulations/FIR20120524TroubledRestrucLoans.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ua.gov/Legal/GuidesEtc/ExaminerGuide/Chapter07.pdf" TargetMode="External"/><Relationship Id="rId11" Type="http://schemas.openxmlformats.org/officeDocument/2006/relationships/hyperlink" Target="http://www.consumerfinance.gov/remittances-transfer-rule-amendment-to-regulation-e/" TargetMode="External"/><Relationship Id="rId24" Type="http://schemas.openxmlformats.org/officeDocument/2006/relationships/hyperlink" Target="http://www.ncua.gov/Legal/Documents/Regulations/FIR20120524TroubledRestrucLoans.pdf" TargetMode="External"/><Relationship Id="rId5" Type="http://schemas.openxmlformats.org/officeDocument/2006/relationships/hyperlink" Target="http://www.ncua.gov/Resources/Pages/LFCU2011-02.aspx" TargetMode="External"/><Relationship Id="rId15" Type="http://schemas.openxmlformats.org/officeDocument/2006/relationships/hyperlink" Target="http://www.ecfr.gov/cgi-bin/text-idx?c=ecfr&amp;tpl=/ecfrbrowse/Title12/12cfr1022_main_02.tpl" TargetMode="External"/><Relationship Id="rId23" Type="http://schemas.openxmlformats.org/officeDocument/2006/relationships/hyperlink" Target="http://www.ncua.gov/Legal/Documents/Regulations/FIR20120524TroubledRestrucLoans.pdf" TargetMode="External"/><Relationship Id="rId28" Type="http://schemas.openxmlformats.org/officeDocument/2006/relationships/hyperlink" Target="http://www.ecfr.gov/cgi-bin/text-idx?c=ecfr&amp;tpl=/ecfrbrowse/Title12/12cfr1002_main_02.tpl" TargetMode="External"/><Relationship Id="rId10" Type="http://schemas.openxmlformats.org/officeDocument/2006/relationships/hyperlink" Target="http://www.gpo.gov/fdsys/pkg/STATUTE-100/pdf/STATUTE-100-Pg779.pdf" TargetMode="External"/><Relationship Id="rId19" Type="http://schemas.openxmlformats.org/officeDocument/2006/relationships/hyperlink" Target="http://www.consumerfinance.gov/regulations/loan-originator-compensation-requirements-under-the-truth-in-lending-act-regulation-z/" TargetMode="External"/><Relationship Id="rId4" Type="http://schemas.openxmlformats.org/officeDocument/2006/relationships/webSettings" Target="webSettings.xml"/><Relationship Id="rId9" Type="http://schemas.openxmlformats.org/officeDocument/2006/relationships/hyperlink" Target="http://www.whistleblowers.gov/regulations_page.html" TargetMode="External"/><Relationship Id="rId14" Type="http://schemas.openxmlformats.org/officeDocument/2006/relationships/hyperlink" Target="http://www.ecfr.gov/cgi-bin/text-idx?c=ecfr&amp;tpl=/ecfrbrowse/Title12/12cfr1002_main_02.tpl" TargetMode="External"/><Relationship Id="rId22" Type="http://schemas.openxmlformats.org/officeDocument/2006/relationships/hyperlink" Target="http://www.ncua.gov/Legal/Documents/Regulations/FIR20130625LoanParticipations.pdf" TargetMode="External"/><Relationship Id="rId27" Type="http://schemas.openxmlformats.org/officeDocument/2006/relationships/hyperlink" Target="http://www.ecfr.gov/cgi-bin/text-idx?c=ecfr&amp;tpl=/ecfrbrowse/Title12/12cfr1013_main_02.t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6</cp:revision>
  <dcterms:created xsi:type="dcterms:W3CDTF">2013-08-28T14:29:00Z</dcterms:created>
  <dcterms:modified xsi:type="dcterms:W3CDTF">2013-08-29T19:18:00Z</dcterms:modified>
</cp:coreProperties>
</file>